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3700CA9" w14:textId="54DE87AA" w:rsidR="005B434B" w:rsidRDefault="00FD59BE" w:rsidP="002F5B40">
      <w:pPr>
        <w:pStyle w:val="Titledocument"/>
      </w:pPr>
      <w:bookmarkStart w:id="0" w:name="OLE_LINK147"/>
      <w:bookmarkStart w:id="1" w:name="OLE_LINK40"/>
      <w:r w:rsidRPr="00FD59BE">
        <w:t xml:space="preserve">Solving the Meta-Access Problem with </w:t>
      </w:r>
      <w:bookmarkStart w:id="2" w:name="OLE_LINK30"/>
      <w:r w:rsidRPr="00FD59BE">
        <w:t xml:space="preserve">Hyper-Relevant Contextual Information </w:t>
      </w:r>
      <w:r>
        <w:t>Retrieval</w:t>
      </w:r>
      <w:bookmarkEnd w:id="0"/>
      <w:bookmarkEnd w:id="2"/>
    </w:p>
    <w:bookmarkEnd w:id="1"/>
    <w:p w14:paraId="4CA27BBF" w14:textId="34DAB3C8" w:rsidR="000F4E3C" w:rsidRPr="000F4E3C" w:rsidRDefault="00FD59BE" w:rsidP="000F4E3C">
      <w:pPr>
        <w:pStyle w:val="ShortTitle"/>
        <w:rPr>
          <w:rFonts w:cs="Linux Libertine"/>
        </w:rPr>
      </w:pPr>
      <w:r w:rsidRPr="00FD59BE">
        <w:rPr>
          <w:rFonts w:cs="Linux Libertine"/>
        </w:rPr>
        <w:t>Contextual Information Retrieval</w:t>
      </w:r>
    </w:p>
    <w:p w14:paraId="10722BC0" w14:textId="78A6B180" w:rsidR="005B434B" w:rsidRDefault="00FD59BE" w:rsidP="005B434B">
      <w:pPr>
        <w:pStyle w:val="Subtitle"/>
        <w:rPr>
          <w:rFonts w:hint="eastAsia"/>
        </w:rPr>
      </w:pPr>
      <w:r w:rsidRPr="00FD59BE">
        <w:t>A Human-</w:t>
      </w:r>
      <w:r w:rsidR="00456B19" w:rsidRPr="00FD59BE">
        <w:t>Centere</w:t>
      </w:r>
      <w:r w:rsidR="00456B19" w:rsidRPr="00FD59BE">
        <w:rPr>
          <w:rFonts w:hint="eastAsia"/>
        </w:rPr>
        <w:t>d</w:t>
      </w:r>
      <w:r w:rsidRPr="00FD59BE">
        <w:t xml:space="preserve"> Retrieval Paradigm for Extending Epistemic Agency, Human Consciousness, and Cognitive Productivity</w:t>
      </w:r>
    </w:p>
    <w:p w14:paraId="070524AB" w14:textId="523E957C" w:rsidR="005B434B" w:rsidRPr="0029158F" w:rsidRDefault="002C2A98" w:rsidP="005B434B">
      <w:pPr>
        <w:pStyle w:val="Authors"/>
        <w:rPr>
          <w:rFonts w:eastAsiaTheme="minorEastAsia"/>
          <w:caps w:val="0"/>
        </w:rPr>
      </w:pPr>
      <w:r>
        <w:rPr>
          <w:rFonts w:eastAsiaTheme="minorEastAsia"/>
          <w:caps w:val="0"/>
        </w:rPr>
        <w:t>Luc P. Beaudoin</w:t>
      </w:r>
      <w:r w:rsidR="005B434B" w:rsidRPr="0029158F">
        <w:rPr>
          <w:rFonts w:eastAsiaTheme="minorEastAsia" w:hint="eastAsia"/>
          <w:caps w:val="0"/>
        </w:rPr>
        <w:footnoteReference w:customMarkFollows="1" w:id="1"/>
        <w:t>*</w:t>
      </w:r>
    </w:p>
    <w:p w14:paraId="6B5C6546" w14:textId="363DE5D1" w:rsidR="005B434B" w:rsidRPr="00E02C38" w:rsidRDefault="002C2A98" w:rsidP="002C2A98">
      <w:pPr>
        <w:pStyle w:val="Affiliation"/>
        <w:rPr>
          <w:rFonts w:eastAsiaTheme="minorEastAsia"/>
        </w:rPr>
      </w:pPr>
      <w:r>
        <w:rPr>
          <w:rFonts w:eastAsiaTheme="minorEastAsia"/>
        </w:rPr>
        <w:t xml:space="preserve">Adjunct Professor of Education, </w:t>
      </w:r>
      <w:r w:rsidRPr="002C2A98">
        <w:rPr>
          <w:rFonts w:eastAsiaTheme="minorEastAsia"/>
        </w:rPr>
        <w:t>Simon Fraser University</w:t>
      </w:r>
      <w:r w:rsidR="003D58A5">
        <w:rPr>
          <w:rFonts w:eastAsiaTheme="minorEastAsia"/>
        </w:rPr>
        <w:t>, lpb@sfu.ca</w:t>
      </w:r>
    </w:p>
    <w:p w14:paraId="1FE46FC1" w14:textId="088C7324" w:rsidR="005B434B" w:rsidRPr="001D3CDD" w:rsidRDefault="00C24C10" w:rsidP="005B434B">
      <w:pPr>
        <w:pStyle w:val="Abstract"/>
      </w:pPr>
      <w:bookmarkStart w:id="3" w:name="OLE_LINK148"/>
      <w:bookmarkStart w:id="4" w:name="OLE_LINK1"/>
      <w:bookmarkStart w:id="5" w:name="ASE13660A7CF714177BCCFDFB698F8FD5F"/>
      <w:r>
        <w:t>Knowledge work increasingly takes place within information ecosystems comprising PDFs, notes, drafts, email, tasks, datasets, diagrams, AI conversations, and other digital resources distributed across many apps. Search can locate an individual resource, but it does not solve the meta-access problem: efficiently re-accessing information because of its relationship to the resource currently in the foreground. This paper introduces Hyper-Relevant Contextual Information Retrieval (HR-CIR), a human-</w:t>
      </w:r>
      <w:r w:rsidR="009B355F">
        <w:t>centered</w:t>
      </w:r>
      <w:r>
        <w:t xml:space="preserve"> information retrieval paradigm in which the foreground resource serves as a content-addressable cue for explicit contextual app links and automatically generated contextual recommendations. HR-CIR functions as a federated relationship layer across an ecosystem of apps, leaving resources in their native apps rather than requiring migration into a single </w:t>
      </w:r>
      <w:r w:rsidR="002B1F64">
        <w:t xml:space="preserve">manifold </w:t>
      </w:r>
      <w:r>
        <w:t xml:space="preserve">repository. Using academic reading and writing as scenarios, the paper argues that HR-CIR strengthens epistemic agency and Cognitive Productivity by supporting Strategic Surfing: the deliberate use of searching, browsing, skimming, scanning, and contextual retrieval to bring relevant knowledge to bear efficiently. It further relates HR-CIR to Ericsson and Kintsch's </w:t>
      </w:r>
      <w:r w:rsidR="00B81755">
        <w:t xml:space="preserve">concept of </w:t>
      </w:r>
      <w:r>
        <w:t xml:space="preserve">long-term working memory and Merlin Donald's account of intermediate and long-term conscious governance. Hookmark for macOS is presented as an illustrative implementation and existence proof. </w:t>
      </w:r>
      <w:bookmarkStart w:id="6" w:name="OLE_LINK146"/>
      <w:r w:rsidR="00D64D6B" w:rsidRPr="00D64D6B">
        <w:t>The paper concludes with design requirements and a research agenda for retrieval architectures that restore task-relevant context through foreground-resource addressing mechanisms.</w:t>
      </w:r>
      <w:bookmarkEnd w:id="3"/>
      <w:r>
        <w:t xml:space="preserve"> </w:t>
      </w:r>
      <w:bookmarkEnd w:id="6"/>
    </w:p>
    <w:bookmarkEnd w:id="4"/>
    <w:bookmarkEnd w:id="5"/>
    <w:p w14:paraId="19A008C5" w14:textId="084C03AA" w:rsidR="005B434B" w:rsidRPr="00B25EC5" w:rsidRDefault="005B434B" w:rsidP="005B434B">
      <w:pPr>
        <w:pStyle w:val="CCSDescription"/>
        <w:rPr>
          <w:szCs w:val="18"/>
        </w:rPr>
      </w:pPr>
      <w:r w:rsidRPr="008275CB">
        <w:rPr>
          <w:rStyle w:val="CCSHeadchar"/>
          <w:szCs w:val="18"/>
        </w:rPr>
        <w:t>CCS CONCEPTS</w:t>
      </w:r>
      <w:r w:rsidR="00335C00">
        <w:rPr>
          <w:rStyle w:val="CCSHeadchar"/>
          <w:szCs w:val="18"/>
        </w:rPr>
        <w:t xml:space="preserve"> </w:t>
      </w:r>
      <w:r w:rsidR="00335C00" w:rsidRPr="00335C00">
        <w:rPr>
          <w:rStyle w:val="CCSHeadchar"/>
          <w:szCs w:val="18"/>
        </w:rPr>
        <w:t xml:space="preserve">• </w:t>
      </w:r>
      <w:bookmarkStart w:id="7" w:name="OLE_LINK149"/>
      <w:r w:rsidR="00335C00" w:rsidRPr="00335C00">
        <w:rPr>
          <w:rStyle w:val="CCSHeadchar"/>
          <w:szCs w:val="18"/>
        </w:rPr>
        <w:t xml:space="preserve">Human-centered computing • Hypertext and hypermedia </w:t>
      </w:r>
      <w:proofErr w:type="gramStart"/>
      <w:r w:rsidR="00335C00" w:rsidRPr="00335C00">
        <w:rPr>
          <w:rStyle w:val="CCSHeadchar"/>
          <w:szCs w:val="18"/>
        </w:rPr>
        <w:t>•  Information</w:t>
      </w:r>
      <w:proofErr w:type="gramEnd"/>
      <w:r w:rsidR="00335C00" w:rsidRPr="00335C00">
        <w:rPr>
          <w:rStyle w:val="CCSHeadchar"/>
          <w:szCs w:val="18"/>
        </w:rPr>
        <w:t xml:space="preserve"> retrieval • Cognitive tools</w:t>
      </w:r>
      <w:r w:rsidRPr="008275CB">
        <w:rPr>
          <w:rStyle w:val="CCSHeadchar"/>
          <w:szCs w:val="18"/>
        </w:rPr>
        <w:t xml:space="preserve"> </w:t>
      </w:r>
      <w:bookmarkEnd w:id="7"/>
    </w:p>
    <w:p w14:paraId="2B7D3640" w14:textId="2C740D78" w:rsidR="005B434B" w:rsidRPr="00335C00" w:rsidRDefault="005B434B" w:rsidP="005B434B">
      <w:pPr>
        <w:pStyle w:val="KeyWords"/>
        <w:rPr>
          <w:bCs/>
          <w:szCs w:val="18"/>
        </w:rPr>
      </w:pPr>
      <w:r>
        <w:rPr>
          <w:rStyle w:val="KeyWordHeadchar"/>
          <w:b/>
          <w:szCs w:val="18"/>
        </w:rPr>
        <w:t>Additional Keywords and Phrases:</w:t>
      </w:r>
      <w:r w:rsidR="00335C00">
        <w:rPr>
          <w:rStyle w:val="KeyWordHeadchar"/>
          <w:b/>
          <w:szCs w:val="18"/>
        </w:rPr>
        <w:t xml:space="preserve"> </w:t>
      </w:r>
      <w:r w:rsidR="00335C00" w:rsidRPr="00335C00">
        <w:rPr>
          <w:rStyle w:val="KeyWordHeadchar"/>
          <w:bCs/>
          <w:szCs w:val="18"/>
        </w:rPr>
        <w:t xml:space="preserve">meta-access problem, epistemic agency, </w:t>
      </w:r>
      <w:r w:rsidR="0060116D" w:rsidRPr="0060116D">
        <w:rPr>
          <w:rStyle w:val="KeyWordHeadchar"/>
          <w:bCs/>
          <w:szCs w:val="18"/>
        </w:rPr>
        <w:t>long-term working memory</w:t>
      </w:r>
      <w:r w:rsidR="00335C00" w:rsidRPr="00335C00">
        <w:rPr>
          <w:rStyle w:val="KeyWordHeadchar"/>
          <w:bCs/>
          <w:szCs w:val="18"/>
        </w:rPr>
        <w:t>, Hookmark</w:t>
      </w:r>
    </w:p>
    <w:p w14:paraId="7D96F011" w14:textId="288DB207" w:rsidR="005B434B" w:rsidRPr="000723E6" w:rsidRDefault="009336D1" w:rsidP="005B434B">
      <w:pPr>
        <w:pStyle w:val="ACMRefHead"/>
      </w:pPr>
      <w:r w:rsidRPr="009336D1">
        <w:t>ACM Reference Format</w:t>
      </w:r>
      <w:r w:rsidR="005B434B" w:rsidRPr="000723E6">
        <w:t>:</w:t>
      </w:r>
    </w:p>
    <w:p w14:paraId="2284AC92" w14:textId="69828102" w:rsidR="005B434B" w:rsidRPr="000723E6" w:rsidRDefault="009336D1" w:rsidP="005B434B">
      <w:pPr>
        <w:pStyle w:val="ACMRef"/>
      </w:pPr>
      <w:r w:rsidRPr="000723E6">
        <w:t>First Author</w:t>
      </w:r>
      <w:r>
        <w:t>’s Name, Initials, and Last Name</w:t>
      </w:r>
      <w:r w:rsidRPr="000723E6">
        <w:t>, Second Author</w:t>
      </w:r>
      <w:r>
        <w:t>’s Name, Initials, and Last Name</w:t>
      </w:r>
      <w:r w:rsidRPr="000723E6">
        <w:t>, and Third Author</w:t>
      </w:r>
      <w:r>
        <w:t>’s Name, Initials, and Last Name</w:t>
      </w:r>
      <w:r w:rsidRPr="000723E6">
        <w:t xml:space="preserve">. 2018. </w:t>
      </w:r>
      <w:r>
        <w:t>The Title of the Paper: ACM Conference Proceedings Manuscript Submission Template</w:t>
      </w:r>
      <w:r w:rsidRPr="000723E6">
        <w:t>: This is the subtitle of the paper</w:t>
      </w:r>
      <w:r>
        <w:t>,</w:t>
      </w:r>
      <w:r w:rsidRPr="00A02ED8">
        <w:t xml:space="preserve"> </w:t>
      </w:r>
      <w:r>
        <w:t>this document both explains and embodies the submission format for authors using Word</w:t>
      </w:r>
      <w:r w:rsidRPr="000723E6">
        <w:t>. In</w:t>
      </w:r>
      <w:r>
        <w:t xml:space="preserve"> </w:t>
      </w:r>
      <w:r w:rsidRPr="000723E6">
        <w:t>Woodstock ’18: ACM Symposium on Neural</w:t>
      </w:r>
      <w:r>
        <w:t xml:space="preserve"> </w:t>
      </w:r>
      <w:r w:rsidRPr="000723E6">
        <w:t>Gaze Detection, June 03–05, 2018, Woodstock, NY.</w:t>
      </w:r>
      <w:r>
        <w:t xml:space="preserve"> </w:t>
      </w:r>
      <w:r w:rsidRPr="000723E6">
        <w:t xml:space="preserve">ACM, New York, NY, USA, 10 pages. </w:t>
      </w:r>
      <w:r>
        <w:t>NOTE: This block will be automatically generated when manuscripts are processed after acceptance.</w:t>
      </w:r>
    </w:p>
    <w:p w14:paraId="56DD2232" w14:textId="77777777" w:rsidR="005B434B" w:rsidRDefault="005B434B" w:rsidP="005B434B">
      <w:pPr>
        <w:pStyle w:val="Head1"/>
        <w:tabs>
          <w:tab w:val="clear" w:pos="360"/>
        </w:tabs>
        <w:ind w:left="432" w:hanging="432"/>
      </w:pPr>
      <w:r>
        <w:lastRenderedPageBreak/>
        <w:t>Introduction</w:t>
      </w:r>
      <w:bookmarkStart w:id="8" w:name="OLE_LINK42"/>
    </w:p>
    <w:bookmarkEnd w:id="8"/>
    <w:p w14:paraId="7C75CB1A" w14:textId="2964D6DB" w:rsidR="005B434B" w:rsidRDefault="0036250F" w:rsidP="005B434B">
      <w:pPr>
        <w:pStyle w:val="PostHeadPara"/>
      </w:pPr>
      <w:r>
        <w:t xml:space="preserve">Knowledge work increasingly takes place within rich information ecosystems comprising documents, notes, bibliographic records, email, tasks, web pages, datasets, diagrams, AI conversations, and other digital resources distributed across many apps. Reading one paper may require consulting its references, one's notes, a reference-manager record, an email exchange, a dataset, and a task list. Writing a paper may involve a manuscript, outline, publisher template, source PDFs, reviewer comments, figures, issue tracker entries, AI conversations, and messages from collaborators. </w:t>
      </w:r>
      <w:r w:rsidRPr="00051513">
        <w:t>These interconnected resources constitute an information ecosystem surrounding the resource currently in the foreground</w:t>
      </w:r>
      <w:r w:rsidR="005B434B" w:rsidRPr="001E2D05">
        <w:t>.</w:t>
      </w:r>
    </w:p>
    <w:p w14:paraId="4DFD96B6" w14:textId="35313D5A" w:rsidR="005B434B" w:rsidRDefault="0036250F" w:rsidP="005B434B">
      <w:pPr>
        <w:pStyle w:val="Para"/>
      </w:pPr>
      <w:r>
        <w:t>Search has made it comparatively easy to locate an individual resource. Yet knowledge workers face a different problem: how to re-access resources because of their relationship to what they are currently doing. We call this the meta-access problem [1,2]: the problem of efficiently accessing information because of its relationship to the information currently in the foreground. It is especially consequential when relevant resources reside in different apps and are connected by a common episode of thought or work rather than by shared keywords</w:t>
      </w:r>
      <w:r w:rsidR="005B434B">
        <w:t>.</w:t>
      </w:r>
    </w:p>
    <w:p w14:paraId="2B0878DA" w14:textId="18126314" w:rsidR="0036250F" w:rsidRDefault="0036250F" w:rsidP="0036250F">
      <w:pPr>
        <w:pStyle w:val="ParaContinue"/>
      </w:pPr>
      <w:r>
        <w:t xml:space="preserve">We use foreground resource to mean the persistent digital resource currently occupying the user's primary attention: for example, a PDF, manuscript, note, email, task, web page, reference record, or AI conversation. A foreground resource is not identical to the user's complete task context, but it is often the shortest and most discriminative </w:t>
      </w:r>
      <w:r w:rsidRPr="005E36E0">
        <w:t>available</w:t>
      </w:r>
      <w:r>
        <w:t xml:space="preserve"> proxy for that context. It can therefore serve as an index into the surrounding information ecosystem.</w:t>
      </w:r>
    </w:p>
    <w:p w14:paraId="1D78F10C" w14:textId="7F940485" w:rsidR="0036250F" w:rsidRDefault="0036250F" w:rsidP="0036250F">
      <w:pPr>
        <w:pStyle w:val="ParaContinue"/>
      </w:pPr>
      <w:r>
        <w:t xml:space="preserve">This paper proposes Hyper-Relevant Contextual Information Retrieval (HR-CIR) as a response. </w:t>
      </w:r>
      <w:r w:rsidRPr="005E36E0">
        <w:t>Whereas conventional search begins with an explicit query, HR-CIR begins with the user's current focus of attention</w:t>
      </w:r>
      <w:r>
        <w:t>. HR-CIR instead resembles content-addressable memory: the foreground resource acts as a retrieval cue that activates explicit contextual app links and automatically generated contextual recommendations. In effect, the foreground resource becomes an index into the user's externalized knowledge. Recommendations may be inferred from metadata, application services, citation relations, prior activity, semantic similarity, or other evidence.</w:t>
      </w:r>
    </w:p>
    <w:p w14:paraId="47B8D883" w14:textId="5CC2A40B" w:rsidR="0036250F" w:rsidRDefault="0036250F" w:rsidP="0036250F">
      <w:pPr>
        <w:pStyle w:val="ParaContinue"/>
      </w:pPr>
      <w:r w:rsidRPr="008525A8">
        <w:t>The paper's central contribution is simultaneously architectural, cognitive, and interaction-design oriented</w:t>
      </w:r>
      <w:r>
        <w:t xml:space="preserve">. By reducing the effort required to restore relevant context, HR-CIR is designed to </w:t>
      </w:r>
      <w:r w:rsidRPr="00434249">
        <w:t xml:space="preserve">strengthen </w:t>
      </w:r>
      <w:r>
        <w:t>epistemic agency: people's capacity to use knowledge intentionally to govern their thinking and action. It can also strengthen Cognitive Productivity and tighten the interactive loop between biological cognition and external symbolic resources described by Donald [3,4]. The contribution is fourfold: the paper identifies the meta-access problem as a design target; characterizes HR-CIR as a content-addressable retrieval paradigm implemented through a federated relationship layer; connects contextual retrieval to epistemic agency, Cognitive Productivity, long-term working memory, and conscious governance; and derives design requirements while demonstrating feasibility through Hookmark [13]. Hookmark is used throughout as an illustrative implementation and existence proof rather than as the paper's principal contribution.</w:t>
      </w:r>
    </w:p>
    <w:p w14:paraId="21C25853" w14:textId="5A20B147" w:rsidR="004D6BBD" w:rsidRDefault="001105C1" w:rsidP="001105C1">
      <w:pPr>
        <w:pStyle w:val="Head1"/>
        <w:tabs>
          <w:tab w:val="clear" w:pos="360"/>
        </w:tabs>
        <w:ind w:left="432" w:hanging="432"/>
      </w:pPr>
      <w:r w:rsidRPr="001105C1">
        <w:t>Background</w:t>
      </w:r>
    </w:p>
    <w:p w14:paraId="55B9A21F" w14:textId="6E5FAA0F" w:rsidR="004D6BBD" w:rsidRDefault="001105C1" w:rsidP="001105C1">
      <w:pPr>
        <w:pStyle w:val="PostHeadPara"/>
      </w:pPr>
      <w:r>
        <w:t>HR-CIR continues the human-augmentation tradition of hypertext. Engelbart framed interactive computing as a means of augmenting human intellect [5]. Nelson emphasized durable, navigable relations among documents. Pearl's Sun Link Service later provided an important architecture for open linking among heterogeneous apps [6]. HR-CIR inherits this cross-app ambition but foregrounds a human-factor question: what information should become immediately accessible because of the user's present work context? It shifts the emphasis from linking resources in the abstract to restoring the contextual relationships surrounding work in progress.</w:t>
      </w:r>
      <w:bookmarkStart w:id="9" w:name="OLE_LINK49"/>
    </w:p>
    <w:bookmarkEnd w:id="9"/>
    <w:p w14:paraId="43D0BE69" w14:textId="650BDE8F" w:rsidR="004D6BBD" w:rsidRDefault="001105C1" w:rsidP="001105C1">
      <w:pPr>
        <w:pStyle w:val="Para"/>
      </w:pPr>
      <w:r w:rsidRPr="009D644F">
        <w:t xml:space="preserve">Search primarily supports discovery through explicit queries. Bookmark management supports deliberate re-access through previously saved resources. HR-CIR instead begins with the foreground resource and uses its relationships as the </w:t>
      </w:r>
      <w:r w:rsidRPr="009D644F">
        <w:lastRenderedPageBreak/>
        <w:t>primary retrieval cue. Conventional retrieval retrieves resources; HR-CIR restores context.</w:t>
      </w:r>
      <w:r>
        <w:t xml:space="preserve">  The distinction concerns not only mechanism but objective: conventional retrieval primarily retrieves resources, whereas HR-CIR restores context.</w:t>
      </w:r>
    </w:p>
    <w:p w14:paraId="4C00A648" w14:textId="1A841611" w:rsidR="001105C1" w:rsidRDefault="005F03F5" w:rsidP="005F03F5">
      <w:pPr>
        <w:pStyle w:val="Head2"/>
      </w:pPr>
      <w:r w:rsidRPr="005F03F5">
        <w:t>Three Retrieval Paradigms</w:t>
      </w:r>
    </w:p>
    <w:p w14:paraId="6FABDBCA" w14:textId="38DDB44C" w:rsidR="001105C1" w:rsidRDefault="005F03F5" w:rsidP="00705F99">
      <w:pPr>
        <w:pStyle w:val="PostHeadPara"/>
      </w:pPr>
      <w:r w:rsidRPr="00BC5B6A">
        <w:t>These three paradigms represent complementary ways in which people intentionally retrieve information during knowledge work: by issuing a query, consulting previously saved resources, or beginning from the resource currently in the foreground.</w:t>
      </w:r>
      <w:r>
        <w:t xml:space="preserve"> </w:t>
      </w:r>
      <w:r w:rsidRPr="00B35011">
        <w:t xml:space="preserve">More generally, they differ in their </w:t>
      </w:r>
      <w:r w:rsidRPr="00B35011">
        <w:rPr>
          <w:i/>
          <w:iCs/>
        </w:rPr>
        <w:t>addressing mechanisms</w:t>
      </w:r>
      <w:r w:rsidRPr="00B35011">
        <w:t>: the means by which a retrieval system determines the initial set of candidate resources. Search addresses information through explicit queries; bookmark managers through explicit user-created collections; HR-CIR through the user's current foreground resource. The choice of addressing mechanism is a fundamental design decision because it determines which resources become candidates for retrieval before any ranking or recommendation occurs.</w:t>
      </w:r>
      <w:r w:rsidRPr="006D72FC">
        <w:t xml:space="preserve"> Table 1 </w:t>
      </w:r>
      <w:r>
        <w:t xml:space="preserve">below </w:t>
      </w:r>
      <w:r w:rsidRPr="006D72FC">
        <w:t>summarizes these three retrieval paradigms</w:t>
      </w:r>
      <w:r>
        <w:t>.</w:t>
      </w:r>
    </w:p>
    <w:p w14:paraId="386CF974" w14:textId="2821F7D0" w:rsidR="002C45CE" w:rsidRDefault="00F1143E" w:rsidP="00F1143E">
      <w:pPr>
        <w:pStyle w:val="TableCaption"/>
      </w:pPr>
      <w:r>
        <w:t>Table 1</w:t>
      </w:r>
      <w:r w:rsidR="00B6095F">
        <w:t>:</w:t>
      </w:r>
      <w:r>
        <w:t xml:space="preserve"> </w:t>
      </w:r>
      <w:r w:rsidRPr="00F1143E">
        <w:t>Three retrieval paradigms. Unlike search and bookmark management, HR-CIR begins with the foreground resource rather than a query or repository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389"/>
        <w:gridCol w:w="2188"/>
        <w:gridCol w:w="2188"/>
      </w:tblGrid>
      <w:tr w:rsidR="00F1143E" w14:paraId="66CAA9DB" w14:textId="77777777" w:rsidTr="00D829FB">
        <w:tc>
          <w:tcPr>
            <w:tcW w:w="1985" w:type="dxa"/>
            <w:tcBorders>
              <w:top w:val="single" w:sz="4" w:space="0" w:color="auto"/>
              <w:bottom w:val="single" w:sz="4" w:space="0" w:color="auto"/>
            </w:tcBorders>
          </w:tcPr>
          <w:p w14:paraId="4CD4F11D" w14:textId="090699CD" w:rsidR="00F1143E" w:rsidRDefault="00F1143E" w:rsidP="00F1143E">
            <w:pPr>
              <w:pStyle w:val="TableCell"/>
            </w:pPr>
            <w:r w:rsidRPr="00F1143E">
              <w:t>Dimension</w:t>
            </w:r>
          </w:p>
        </w:tc>
        <w:tc>
          <w:tcPr>
            <w:tcW w:w="2389" w:type="dxa"/>
            <w:tcBorders>
              <w:top w:val="single" w:sz="4" w:space="0" w:color="auto"/>
              <w:bottom w:val="single" w:sz="4" w:space="0" w:color="auto"/>
            </w:tcBorders>
          </w:tcPr>
          <w:p w14:paraId="2032B410" w14:textId="1BB6AC04" w:rsidR="00F1143E" w:rsidRDefault="00F1143E" w:rsidP="00F1143E">
            <w:pPr>
              <w:pStyle w:val="TableCell"/>
            </w:pPr>
            <w:r>
              <w:t>Search</w:t>
            </w:r>
          </w:p>
        </w:tc>
        <w:tc>
          <w:tcPr>
            <w:tcW w:w="2188" w:type="dxa"/>
            <w:tcBorders>
              <w:top w:val="single" w:sz="4" w:space="0" w:color="auto"/>
              <w:bottom w:val="single" w:sz="4" w:space="0" w:color="auto"/>
            </w:tcBorders>
          </w:tcPr>
          <w:p w14:paraId="54328B13" w14:textId="30595271" w:rsidR="00F1143E" w:rsidRDefault="00F1143E" w:rsidP="00F1143E">
            <w:pPr>
              <w:pStyle w:val="TableCell"/>
            </w:pPr>
            <w:r>
              <w:t>Bookmark Manager</w:t>
            </w:r>
          </w:p>
        </w:tc>
        <w:tc>
          <w:tcPr>
            <w:tcW w:w="2188" w:type="dxa"/>
            <w:tcBorders>
              <w:top w:val="single" w:sz="4" w:space="0" w:color="auto"/>
              <w:bottom w:val="single" w:sz="4" w:space="0" w:color="auto"/>
            </w:tcBorders>
          </w:tcPr>
          <w:p w14:paraId="320E39C3" w14:textId="4A8B81F6" w:rsidR="00F1143E" w:rsidRDefault="00F1143E" w:rsidP="00F1143E">
            <w:pPr>
              <w:pStyle w:val="TableCell"/>
            </w:pPr>
            <w:r>
              <w:t>HR-CIR</w:t>
            </w:r>
          </w:p>
        </w:tc>
      </w:tr>
      <w:tr w:rsidR="00F1143E" w14:paraId="49029454" w14:textId="77777777" w:rsidTr="00D829FB">
        <w:tc>
          <w:tcPr>
            <w:tcW w:w="1985" w:type="dxa"/>
            <w:tcBorders>
              <w:top w:val="single" w:sz="4" w:space="0" w:color="auto"/>
            </w:tcBorders>
          </w:tcPr>
          <w:p w14:paraId="07E3235C" w14:textId="4049E365" w:rsidR="00F1143E" w:rsidRDefault="00F1143E" w:rsidP="00F1143E">
            <w:pPr>
              <w:pStyle w:val="TableCell"/>
            </w:pPr>
            <w:r>
              <w:t>Starting point</w:t>
            </w:r>
          </w:p>
        </w:tc>
        <w:tc>
          <w:tcPr>
            <w:tcW w:w="2389" w:type="dxa"/>
            <w:tcBorders>
              <w:top w:val="single" w:sz="4" w:space="0" w:color="auto"/>
            </w:tcBorders>
          </w:tcPr>
          <w:p w14:paraId="2FD02A02" w14:textId="07130B50" w:rsidR="00F1143E" w:rsidRDefault="00F1143E" w:rsidP="00F1143E">
            <w:pPr>
              <w:pStyle w:val="TableCell"/>
            </w:pPr>
            <w:r w:rsidRPr="00F1143E">
              <w:t>User formulates a query.</w:t>
            </w:r>
          </w:p>
        </w:tc>
        <w:tc>
          <w:tcPr>
            <w:tcW w:w="2188" w:type="dxa"/>
            <w:tcBorders>
              <w:top w:val="single" w:sz="4" w:space="0" w:color="auto"/>
            </w:tcBorders>
          </w:tcPr>
          <w:p w14:paraId="5FE8614C" w14:textId="50581F95" w:rsidR="00F1143E" w:rsidRDefault="00F1143E" w:rsidP="00F1143E">
            <w:pPr>
              <w:pStyle w:val="TableCell"/>
            </w:pPr>
            <w:r w:rsidRPr="00F1143E">
              <w:t>User opens or searches saved bookmarks</w:t>
            </w:r>
            <w:r>
              <w:t>.</w:t>
            </w:r>
          </w:p>
        </w:tc>
        <w:tc>
          <w:tcPr>
            <w:tcW w:w="2188" w:type="dxa"/>
            <w:tcBorders>
              <w:top w:val="single" w:sz="4" w:space="0" w:color="auto"/>
            </w:tcBorders>
          </w:tcPr>
          <w:p w14:paraId="70E980E4" w14:textId="1A926AC4" w:rsidR="00F1143E" w:rsidRDefault="00F1143E" w:rsidP="00F1143E">
            <w:pPr>
              <w:pStyle w:val="TableCell"/>
            </w:pPr>
            <w:r w:rsidRPr="00F1143E">
              <w:t>User invokes the context window on the foreground resource</w:t>
            </w:r>
          </w:p>
        </w:tc>
      </w:tr>
      <w:tr w:rsidR="00F1143E" w14:paraId="0447730F" w14:textId="77777777" w:rsidTr="00D829FB">
        <w:tc>
          <w:tcPr>
            <w:tcW w:w="1985" w:type="dxa"/>
          </w:tcPr>
          <w:p w14:paraId="03012AC5" w14:textId="5912A4CD" w:rsidR="00F1143E" w:rsidRDefault="00F1143E" w:rsidP="00F1143E">
            <w:pPr>
              <w:pStyle w:val="TableCell"/>
            </w:pPr>
            <w:r w:rsidRPr="00F1143E">
              <w:t>Primary purpose</w:t>
            </w:r>
          </w:p>
        </w:tc>
        <w:tc>
          <w:tcPr>
            <w:tcW w:w="2389" w:type="dxa"/>
          </w:tcPr>
          <w:p w14:paraId="5ED26948" w14:textId="1046C7E6" w:rsidR="00F1143E" w:rsidRDefault="00F1143E" w:rsidP="00F1143E">
            <w:pPr>
              <w:pStyle w:val="TableCell"/>
            </w:pPr>
            <w:r w:rsidRPr="00F1143E">
              <w:t>Discover or locate information</w:t>
            </w:r>
            <w:r>
              <w:t>.</w:t>
            </w:r>
          </w:p>
        </w:tc>
        <w:tc>
          <w:tcPr>
            <w:tcW w:w="2188" w:type="dxa"/>
          </w:tcPr>
          <w:p w14:paraId="491DE552" w14:textId="1A778832" w:rsidR="00F1143E" w:rsidRDefault="00F1143E" w:rsidP="00F1143E">
            <w:pPr>
              <w:pStyle w:val="TableCell"/>
            </w:pPr>
            <w:r w:rsidRPr="00F1143E">
              <w:t>Re-access saved information</w:t>
            </w:r>
            <w:r>
              <w:t>.</w:t>
            </w:r>
          </w:p>
        </w:tc>
        <w:tc>
          <w:tcPr>
            <w:tcW w:w="2188" w:type="dxa"/>
          </w:tcPr>
          <w:p w14:paraId="1AF3566E" w14:textId="68B319DC" w:rsidR="00F1143E" w:rsidRDefault="00F1143E" w:rsidP="00F1143E">
            <w:pPr>
              <w:pStyle w:val="TableCell"/>
            </w:pPr>
            <w:r w:rsidRPr="00F1143E">
              <w:t>Re-access information relevant to the current task</w:t>
            </w:r>
            <w:r>
              <w:t>.</w:t>
            </w:r>
          </w:p>
        </w:tc>
      </w:tr>
      <w:tr w:rsidR="00F1143E" w14:paraId="4FF01FAD" w14:textId="77777777" w:rsidTr="00D829FB">
        <w:tc>
          <w:tcPr>
            <w:tcW w:w="1985" w:type="dxa"/>
          </w:tcPr>
          <w:p w14:paraId="4415C9A9" w14:textId="0F4470A1" w:rsidR="00F1143E" w:rsidRDefault="00F1143E" w:rsidP="00F1143E">
            <w:pPr>
              <w:pStyle w:val="TableCell"/>
            </w:pPr>
            <w:r w:rsidRPr="00F1143E">
              <w:t>Primary cue</w:t>
            </w:r>
          </w:p>
        </w:tc>
        <w:tc>
          <w:tcPr>
            <w:tcW w:w="2389" w:type="dxa"/>
          </w:tcPr>
          <w:p w14:paraId="12E62F9D" w14:textId="724D53F5" w:rsidR="00F1143E" w:rsidRDefault="00F1143E" w:rsidP="00F1143E">
            <w:pPr>
              <w:pStyle w:val="TableCell"/>
            </w:pPr>
            <w:r w:rsidRPr="00F1143E">
              <w:t>Query terms</w:t>
            </w:r>
          </w:p>
        </w:tc>
        <w:tc>
          <w:tcPr>
            <w:tcW w:w="2188" w:type="dxa"/>
          </w:tcPr>
          <w:p w14:paraId="23BD5DFF" w14:textId="38F726CC" w:rsidR="00F1143E" w:rsidRDefault="00F1143E" w:rsidP="00F1143E">
            <w:pPr>
              <w:pStyle w:val="TableCell"/>
            </w:pPr>
            <w:r w:rsidRPr="00F1143E">
              <w:t>Titles, folders, or tags</w:t>
            </w:r>
          </w:p>
        </w:tc>
        <w:tc>
          <w:tcPr>
            <w:tcW w:w="2188" w:type="dxa"/>
          </w:tcPr>
          <w:p w14:paraId="32CBCFD0" w14:textId="4A1C052E" w:rsidR="00F1143E" w:rsidRDefault="00F1143E" w:rsidP="00F1143E">
            <w:pPr>
              <w:pStyle w:val="TableCell"/>
            </w:pPr>
            <w:r w:rsidRPr="00F1143E">
              <w:t>Foreground resource and its relationships</w:t>
            </w:r>
          </w:p>
        </w:tc>
      </w:tr>
      <w:tr w:rsidR="00F1143E" w14:paraId="715B913B" w14:textId="77777777" w:rsidTr="00D829FB">
        <w:tc>
          <w:tcPr>
            <w:tcW w:w="1985" w:type="dxa"/>
          </w:tcPr>
          <w:p w14:paraId="49FC03C4" w14:textId="7BA13AC8" w:rsidR="00F1143E" w:rsidRDefault="00EF37BB" w:rsidP="00F1143E">
            <w:pPr>
              <w:pStyle w:val="TableCell"/>
            </w:pPr>
            <w:r w:rsidRPr="00EF37BB">
              <w:t>Typical output</w:t>
            </w:r>
          </w:p>
        </w:tc>
        <w:tc>
          <w:tcPr>
            <w:tcW w:w="2389" w:type="dxa"/>
          </w:tcPr>
          <w:p w14:paraId="642960D3" w14:textId="592CDA15" w:rsidR="00F1143E" w:rsidRDefault="00B6095F" w:rsidP="00F1143E">
            <w:pPr>
              <w:pStyle w:val="TableCell"/>
            </w:pPr>
            <w:r w:rsidRPr="00B6095F">
              <w:t>Ranked search results</w:t>
            </w:r>
          </w:p>
        </w:tc>
        <w:tc>
          <w:tcPr>
            <w:tcW w:w="2188" w:type="dxa"/>
          </w:tcPr>
          <w:p w14:paraId="22746AB3" w14:textId="2C3FC095" w:rsidR="00F1143E" w:rsidRDefault="00B6095F" w:rsidP="00F1143E">
            <w:pPr>
              <w:pStyle w:val="TableCell"/>
            </w:pPr>
            <w:r w:rsidRPr="00B6095F">
              <w:t>Matching bookmarks</w:t>
            </w:r>
          </w:p>
        </w:tc>
        <w:tc>
          <w:tcPr>
            <w:tcW w:w="2188" w:type="dxa"/>
          </w:tcPr>
          <w:p w14:paraId="672E2C04" w14:textId="3E7DDE13" w:rsidR="00F1143E" w:rsidRDefault="00B6095F" w:rsidP="00F1143E">
            <w:pPr>
              <w:pStyle w:val="TableCell"/>
            </w:pPr>
            <w:r w:rsidRPr="00B6095F">
              <w:t>App links and contextual recommendations</w:t>
            </w:r>
          </w:p>
        </w:tc>
      </w:tr>
      <w:tr w:rsidR="00F1143E" w14:paraId="44F7C642" w14:textId="77777777" w:rsidTr="00D829FB">
        <w:tc>
          <w:tcPr>
            <w:tcW w:w="1985" w:type="dxa"/>
          </w:tcPr>
          <w:p w14:paraId="60DF8755" w14:textId="48890D95" w:rsidR="00F1143E" w:rsidRDefault="00B6095F" w:rsidP="00D829FB">
            <w:pPr>
              <w:pStyle w:val="TableCell"/>
            </w:pPr>
            <w:r w:rsidRPr="00B6095F">
              <w:t>Addressing mechanism</w:t>
            </w:r>
          </w:p>
        </w:tc>
        <w:tc>
          <w:tcPr>
            <w:tcW w:w="2389" w:type="dxa"/>
          </w:tcPr>
          <w:p w14:paraId="7A57AE4D" w14:textId="57F676CA" w:rsidR="00F1143E" w:rsidRDefault="00B6095F" w:rsidP="00F1143E">
            <w:pPr>
              <w:pStyle w:val="TableCell"/>
            </w:pPr>
            <w:r w:rsidRPr="00B6095F">
              <w:t>Explicit retrieval request (query).</w:t>
            </w:r>
          </w:p>
        </w:tc>
        <w:tc>
          <w:tcPr>
            <w:tcW w:w="2188" w:type="dxa"/>
          </w:tcPr>
          <w:p w14:paraId="10C6CBCB" w14:textId="53D924FD" w:rsidR="00F1143E" w:rsidRDefault="00B6095F" w:rsidP="00F1143E">
            <w:pPr>
              <w:pStyle w:val="TableCell"/>
            </w:pPr>
            <w:r w:rsidRPr="00B6095F">
              <w:t>Explicit selection or lookup within saved bookmarks</w:t>
            </w:r>
          </w:p>
        </w:tc>
        <w:tc>
          <w:tcPr>
            <w:tcW w:w="2188" w:type="dxa"/>
          </w:tcPr>
          <w:p w14:paraId="3584DBFA" w14:textId="03A540F7" w:rsidR="00F1143E" w:rsidRDefault="00B6095F" w:rsidP="00F1143E">
            <w:pPr>
              <w:pStyle w:val="TableCell"/>
            </w:pPr>
            <w:r w:rsidRPr="00B6095F">
              <w:t>Foreground resource as a content-addressable retrieval cue</w:t>
            </w:r>
          </w:p>
        </w:tc>
      </w:tr>
      <w:tr w:rsidR="00F1143E" w14:paraId="4D89872E" w14:textId="77777777" w:rsidTr="00D829FB">
        <w:tc>
          <w:tcPr>
            <w:tcW w:w="1985" w:type="dxa"/>
          </w:tcPr>
          <w:p w14:paraId="707DB3E8" w14:textId="4509BEDB" w:rsidR="00F1143E" w:rsidRDefault="00B6095F" w:rsidP="00F1143E">
            <w:pPr>
              <w:pStyle w:val="TableCell"/>
            </w:pPr>
            <w:r w:rsidRPr="00B6095F">
              <w:t>Cognitive role</w:t>
            </w:r>
          </w:p>
        </w:tc>
        <w:tc>
          <w:tcPr>
            <w:tcW w:w="2389" w:type="dxa"/>
          </w:tcPr>
          <w:p w14:paraId="216BB4A2" w14:textId="7ACDE1F1" w:rsidR="00F1143E" w:rsidRDefault="00B6095F" w:rsidP="00F1143E">
            <w:pPr>
              <w:pStyle w:val="TableCell"/>
            </w:pPr>
            <w:r w:rsidRPr="00B6095F">
              <w:t>Supports discovery</w:t>
            </w:r>
          </w:p>
        </w:tc>
        <w:tc>
          <w:tcPr>
            <w:tcW w:w="2188" w:type="dxa"/>
          </w:tcPr>
          <w:p w14:paraId="3BFD6D2A" w14:textId="1AB7C835" w:rsidR="00F1143E" w:rsidRDefault="00B6095F" w:rsidP="00F1143E">
            <w:pPr>
              <w:pStyle w:val="TableCell"/>
            </w:pPr>
            <w:r w:rsidRPr="00B6095F">
              <w:t>Preserves selected resources</w:t>
            </w:r>
          </w:p>
        </w:tc>
        <w:tc>
          <w:tcPr>
            <w:tcW w:w="2188" w:type="dxa"/>
          </w:tcPr>
          <w:p w14:paraId="0451B496" w14:textId="2EEFAF5D" w:rsidR="00F1143E" w:rsidRDefault="00B6095F" w:rsidP="00F1143E">
            <w:pPr>
              <w:pStyle w:val="TableCell"/>
            </w:pPr>
            <w:r w:rsidRPr="00B6095F">
              <w:t>Integrates relevant knowledge into ongoing thought and action</w:t>
            </w:r>
          </w:p>
        </w:tc>
      </w:tr>
    </w:tbl>
    <w:p w14:paraId="7968A975" w14:textId="77777777" w:rsidR="002C45CE" w:rsidRDefault="002C45CE" w:rsidP="001105C1">
      <w:pPr>
        <w:pStyle w:val="ParaContinue"/>
      </w:pPr>
    </w:p>
    <w:p w14:paraId="2C5AA964" w14:textId="77777777" w:rsidR="00705F99" w:rsidRDefault="00705F99" w:rsidP="00705F99">
      <w:pPr>
        <w:pStyle w:val="ParaContinue"/>
      </w:pPr>
      <w:r>
        <w:t>These paradigms are complementary. HR-CIR does not eliminate search, semantic retrieval, or bookmarks. It addresses the recurrent problem of restoring and navigating the information ecosystem surrounding work already in progress.</w:t>
      </w:r>
    </w:p>
    <w:p w14:paraId="2B3617F4" w14:textId="7D5F5A3D" w:rsidR="002C45CE" w:rsidRDefault="00705F99" w:rsidP="00705F99">
      <w:pPr>
        <w:pStyle w:val="Head2"/>
      </w:pPr>
      <w:r w:rsidRPr="00705F99">
        <w:t>A Federated Relationship Layer</w:t>
      </w:r>
    </w:p>
    <w:p w14:paraId="1B05109F" w14:textId="078724B7" w:rsidR="00705F99" w:rsidRDefault="00705F99" w:rsidP="00705F99">
      <w:pPr>
        <w:pStyle w:val="PostHeadPara"/>
      </w:pPr>
      <w:r w:rsidRPr="00E70678">
        <w:t>HR-CIR does not require another repository for knowledge.</w:t>
      </w:r>
      <w:r>
        <w:t xml:space="preserve"> It is a relationship layer spanning an ecosystem of apps. Repository-centric knowledge-management apps such as Capacities, DEVONthink, Notion, Obsidian and Roam Research provide rich environments for organizing, linking, and retrieving information within their own repositories. </w:t>
      </w:r>
      <w:r w:rsidRPr="00527840">
        <w:t>HR-CIR adopts a different addressing mechanism and therefore solves a different architectural problem</w:t>
      </w:r>
      <w:r>
        <w:t>. Rather than encouraging users to consolidate information into a single repository, it leaves resources in their native apps while overlaying navigable contextual relationships across them. Documents, notes, email, tasks, references, AI conversations, and other resources remain where they are most naturally managed while becoming part of a unified navigational environment.</w:t>
      </w:r>
    </w:p>
    <w:p w14:paraId="50701C46" w14:textId="293E0006" w:rsidR="00705F99" w:rsidRDefault="004718A7" w:rsidP="00705F99">
      <w:pPr>
        <w:pStyle w:val="Para"/>
      </w:pPr>
      <w:r>
        <w:t xml:space="preserve">These approaches are complementary rather than competing. Repository-centric apps can themselves participate in HR-CIR. A Notion page, Obsidian note, Roam block, or DEVONthink document can serve as a foreground resource and be connected to resources in other apps. HR-CIR therefore augments repository-centric systems rather than replacing them. </w:t>
      </w:r>
      <w:r>
        <w:lastRenderedPageBreak/>
        <w:t>Repository-centric systems organize information primarily by storing it together; HR-CIR organizes information by making relationships across locations immediately navigable.</w:t>
      </w:r>
    </w:p>
    <w:p w14:paraId="5E077B0A" w14:textId="601E9D06" w:rsidR="004718A7" w:rsidRDefault="004718A7" w:rsidP="00526E0C">
      <w:pPr>
        <w:pStyle w:val="ParaContinue"/>
      </w:pPr>
      <w:bookmarkStart w:id="10" w:name="OLE_LINK78"/>
      <w:r>
        <w:t xml:space="preserve">The federated relationship layer is not itself a new repository, knowledge graph, or recommendation engine. It is an interoperability architecture that can use all three while keeping re-access anchored to the foreground resource. Its distinctive purpose is operational: to restore a task-relevant context across app boundaries </w:t>
      </w:r>
      <w:proofErr w:type="gramStart"/>
      <w:r>
        <w:t>at the moment</w:t>
      </w:r>
      <w:proofErr w:type="gramEnd"/>
      <w:r>
        <w:t xml:space="preserve"> it is needed</w:t>
      </w:r>
      <w:bookmarkEnd w:id="10"/>
      <w:r>
        <w:t>.</w:t>
      </w:r>
    </w:p>
    <w:p w14:paraId="3ABA9967" w14:textId="03EADA70" w:rsidR="00705F99" w:rsidRDefault="00526E0C" w:rsidP="001105C1">
      <w:pPr>
        <w:pStyle w:val="ParaContinue"/>
      </w:pPr>
      <w:r w:rsidRPr="00526E0C">
        <w:t xml:space="preserve">Unlike a knowledge graph, whose primary purpose is to represent entities and their relationships, the federated relationship layer is an interaction architecture whose purpose is to restore task-relevant context </w:t>
      </w:r>
      <w:proofErr w:type="gramStart"/>
      <w:r w:rsidRPr="00526E0C">
        <w:t>at the moment</w:t>
      </w:r>
      <w:proofErr w:type="gramEnd"/>
      <w:r w:rsidRPr="00526E0C">
        <w:t xml:space="preserve"> of work</w:t>
      </w:r>
      <w:r>
        <w:t>.</w:t>
      </w:r>
    </w:p>
    <w:p w14:paraId="2BA752F1" w14:textId="76D87B4A" w:rsidR="00526E0C" w:rsidRDefault="00526E0C" w:rsidP="00526E0C">
      <w:pPr>
        <w:pStyle w:val="Head1"/>
      </w:pPr>
      <w:r w:rsidRPr="00526E0C">
        <w:t>ILLUSTRATIVE KNOWLEDGE-WORK SCENARIOS</w:t>
      </w:r>
    </w:p>
    <w:p w14:paraId="3CEBE5D4" w14:textId="067581E4" w:rsidR="00526E0C" w:rsidRDefault="00526E0C" w:rsidP="00526E0C">
      <w:pPr>
        <w:pStyle w:val="Head2"/>
      </w:pPr>
      <w:r w:rsidRPr="00526E0C">
        <w:t>Reading a Research Paper</w:t>
      </w:r>
    </w:p>
    <w:p w14:paraId="224C08D1" w14:textId="0FB4086D" w:rsidR="00526E0C" w:rsidRDefault="00526E0C" w:rsidP="00526E0C">
      <w:pPr>
        <w:pStyle w:val="PostHeadPara"/>
      </w:pPr>
      <w:r>
        <w:t xml:space="preserve">Suppose a researcher opens a PDF in a reader such as Skim, Preview, or Acrobat. The paper is the foreground resource, but productive reading may require access to a bibliographical entry (e.g., a record in Bookends or Zotero), notes in the app of their choice, a cited paper, a prior email discussion, a list of tasks associated with the paper (e.g., looking up a reference), a dataset, and an AI conversation used to clarify the paper. </w:t>
      </w:r>
      <w:r w:rsidRPr="00CA498E">
        <w:t xml:space="preserve">Ordinary search treats each access as a separate retrieval episode. The researcher must interrupt reading, infer where the desired resource probably resides, switch </w:t>
      </w:r>
      <w:r>
        <w:t>app</w:t>
      </w:r>
      <w:r w:rsidRPr="00CA498E">
        <w:t>s, formulate a query, scan results, open the resource, and then reconstruct the original train of thought</w:t>
      </w:r>
      <w:r>
        <w:t>.</w:t>
      </w:r>
    </w:p>
    <w:p w14:paraId="7058AAA9" w14:textId="6576D792" w:rsidR="00526E0C" w:rsidRDefault="00526E0C" w:rsidP="001105C1">
      <w:pPr>
        <w:pStyle w:val="ParaContinue"/>
      </w:pPr>
      <w:r>
        <w:t xml:space="preserve">With HR-CIR, the researcher invokes a context window on the PDF. The context window displays app links and recommendations. Explicit contextual app links can lead directly to notes, the bibliographic record, a task list, email, a dataset, or an AI conversation. A bidirectional association, called a hook, permits navigation in either direction: from paper to note and from note back to paper. Deep links can point to a particular page or passage. </w:t>
      </w:r>
      <w:r w:rsidRPr="000E4EA7">
        <w:t>Contextual recommendations can additionally surface resources the user has not explicitly hooked, such as a web page sharing the paper’s DOI, citing or cited papers exposed by a reference manager, or conceptually related documents supplied by a local information manager</w:t>
      </w:r>
      <w:r w:rsidR="009361DF">
        <w:t>.</w:t>
      </w:r>
    </w:p>
    <w:p w14:paraId="0C7BE701" w14:textId="18E7C220" w:rsidR="00526E0C" w:rsidRDefault="00526E0C" w:rsidP="001105C1">
      <w:pPr>
        <w:pStyle w:val="ParaContinue"/>
      </w:pPr>
      <w:r w:rsidRPr="00EF2D62">
        <w:t>The principal benefit is not merely speed</w:t>
      </w:r>
      <w:r w:rsidRPr="00323CBC">
        <w:t>.</w:t>
      </w:r>
      <w:r>
        <w:t xml:space="preserve"> The interaction preserves the reading episode: the researcher remains oriented to the paper while bringing auxiliary knowledge into consciousness. Because the linked resources remain in their native apps, HR-CIR restores context without requiring the user to migrate the surrounding ecosystem into a new repository.</w:t>
      </w:r>
    </w:p>
    <w:p w14:paraId="4182E377" w14:textId="010D515C" w:rsidR="00526E0C" w:rsidRDefault="00526E0C" w:rsidP="00526E0C">
      <w:pPr>
        <w:pStyle w:val="Head2"/>
      </w:pPr>
      <w:r w:rsidRPr="00526E0C">
        <w:t>Writing a Document</w:t>
      </w:r>
    </w:p>
    <w:p w14:paraId="72D7C335" w14:textId="6EA9E2A8" w:rsidR="00526E0C" w:rsidRDefault="00526E0C" w:rsidP="00526E0C">
      <w:pPr>
        <w:pStyle w:val="PostHeadPara"/>
      </w:pPr>
      <w:r>
        <w:t xml:space="preserve">Consider writing a conference paper. The manuscript may be related to the call for papers, an ACM template, an outline, source PDFs, notes, references, prior drafts, figures, reviewer or collaborator email, an issue tracker entry, a calendar deadline, and a list of tasks associated with the paper. These relationships are often deep rather than lexical. A message may contain no distinctive words from the manuscript yet matter because it records a </w:t>
      </w:r>
      <w:proofErr w:type="gramStart"/>
      <w:r>
        <w:t>co-author's</w:t>
      </w:r>
      <w:proofErr w:type="gramEnd"/>
      <w:r>
        <w:t xml:space="preserve"> or reviewer’s input. A diagram may contain little searchable text but embody an argument used in the paper.</w:t>
      </w:r>
      <w:r>
        <w:tab/>
      </w:r>
    </w:p>
    <w:p w14:paraId="7E27618B" w14:textId="61B729E8" w:rsidR="00526E0C" w:rsidRDefault="00526E0C" w:rsidP="001105C1">
      <w:pPr>
        <w:pStyle w:val="ParaContinue"/>
      </w:pPr>
      <w:r w:rsidRPr="00514FDA">
        <w:t>The manuscript now becomes the foreground resource</w:t>
      </w:r>
      <w:r>
        <w:t>. Invoking its context window reveals the hooked outline, template, reference collection, notes, messages, and task list. A Hook-to-New operation can create a new note or document, name it from the foreground resource, and establish reciprocal links in one step. Copy Link makes an app link available for insertion into a task, note, project plan, or email. These operations preserve the work's relational structure instead of forcing the author to remember filenames, folder paths, app locations, or queries.</w:t>
      </w:r>
    </w:p>
    <w:p w14:paraId="7B6626B4" w14:textId="4051578B" w:rsidR="00526E0C" w:rsidRDefault="0074086C" w:rsidP="001105C1">
      <w:pPr>
        <w:pStyle w:val="ParaContinue"/>
      </w:pPr>
      <w:r>
        <w:t xml:space="preserve">The same mechanism supports resumption after interruption. Reopening the manuscript restores an access point to its surrounding ecosystem. The user does not need to reconstruct the project from memory. </w:t>
      </w:r>
      <w:r w:rsidRPr="00EF2D62">
        <w:t xml:space="preserve">HR-CIR thereby provides an </w:t>
      </w:r>
      <w:r w:rsidRPr="00EF2D62">
        <w:lastRenderedPageBreak/>
        <w:t>externalized self-reminding mechanism and supports continuity across sessions lasting days, months, or years</w:t>
      </w:r>
      <w:r>
        <w:t xml:space="preserve">. </w:t>
      </w:r>
      <w:r w:rsidRPr="00591276">
        <w:t>In both scenarios, the foreground resource functions as the addressing mechanism for the surrounding information ecosystem</w:t>
      </w:r>
      <w:r>
        <w:t>.</w:t>
      </w:r>
    </w:p>
    <w:p w14:paraId="6911DEA4" w14:textId="6E353620" w:rsidR="0074086C" w:rsidRDefault="0074086C" w:rsidP="0074086C">
      <w:pPr>
        <w:pStyle w:val="Head1"/>
      </w:pPr>
      <w:r w:rsidRPr="0074086C">
        <w:t>HR-CIR CAPABILITIES</w:t>
      </w:r>
    </w:p>
    <w:p w14:paraId="4D904AEA" w14:textId="3396D52A" w:rsidR="0074086C" w:rsidRDefault="0074086C" w:rsidP="0074086C">
      <w:pPr>
        <w:pStyle w:val="PostHeadPara"/>
      </w:pPr>
      <w:r w:rsidRPr="00C525DF">
        <w:t>The specific commands provided by an implementation are less important than the capability classes summarized in Table 3</w:t>
      </w:r>
      <w:r>
        <w:t>.</w:t>
      </w:r>
    </w:p>
    <w:p w14:paraId="39FD8731" w14:textId="77777777" w:rsidR="0074086C" w:rsidRDefault="0074086C" w:rsidP="0074086C">
      <w:pPr>
        <w:pStyle w:val="TableCaption"/>
      </w:pPr>
      <w:r w:rsidRPr="0074086C">
        <w:t>Table 3. Core</w:t>
      </w:r>
      <w:r>
        <w:t xml:space="preserve"> HR-CIR capabilities and their human-factor functions.</w:t>
      </w:r>
    </w:p>
    <w:tbl>
      <w:tblPr>
        <w:tblStyle w:val="TableGrid"/>
        <w:tblW w:w="76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49"/>
        <w:gridCol w:w="5001"/>
      </w:tblGrid>
      <w:tr w:rsidR="0074086C" w14:paraId="64511864" w14:textId="77777777" w:rsidTr="00A22389">
        <w:trPr>
          <w:tblHeader/>
          <w:jc w:val="center"/>
        </w:trPr>
        <w:tc>
          <w:tcPr>
            <w:tcW w:w="2649" w:type="dxa"/>
            <w:tcBorders>
              <w:top w:val="single" w:sz="4" w:space="0" w:color="auto"/>
              <w:bottom w:val="single" w:sz="4" w:space="0" w:color="auto"/>
            </w:tcBorders>
          </w:tcPr>
          <w:p w14:paraId="4E38403C" w14:textId="77777777" w:rsidR="0074086C" w:rsidRDefault="0074086C" w:rsidP="00A22389">
            <w:pPr>
              <w:pStyle w:val="TableCell"/>
            </w:pPr>
            <w:r>
              <w:t>Capability</w:t>
            </w:r>
          </w:p>
        </w:tc>
        <w:tc>
          <w:tcPr>
            <w:tcW w:w="5001" w:type="dxa"/>
            <w:tcBorders>
              <w:top w:val="single" w:sz="4" w:space="0" w:color="auto"/>
              <w:bottom w:val="single" w:sz="4" w:space="0" w:color="auto"/>
            </w:tcBorders>
          </w:tcPr>
          <w:p w14:paraId="5F052B0A" w14:textId="77777777" w:rsidR="0074086C" w:rsidRDefault="0074086C" w:rsidP="00A22389">
            <w:pPr>
              <w:pStyle w:val="TableCell"/>
            </w:pPr>
            <w:r>
              <w:t>Human-factor function</w:t>
            </w:r>
          </w:p>
        </w:tc>
      </w:tr>
      <w:tr w:rsidR="0074086C" w14:paraId="02991459" w14:textId="77777777" w:rsidTr="00A22389">
        <w:trPr>
          <w:jc w:val="center"/>
        </w:trPr>
        <w:tc>
          <w:tcPr>
            <w:tcW w:w="2649" w:type="dxa"/>
            <w:tcBorders>
              <w:top w:val="single" w:sz="4" w:space="0" w:color="auto"/>
            </w:tcBorders>
          </w:tcPr>
          <w:p w14:paraId="1621948A" w14:textId="77777777" w:rsidR="0074086C" w:rsidRDefault="0074086C" w:rsidP="0074086C">
            <w:pPr>
              <w:pStyle w:val="TableCell"/>
            </w:pPr>
            <w:r>
              <w:t>Copy app link</w:t>
            </w:r>
          </w:p>
        </w:tc>
        <w:tc>
          <w:tcPr>
            <w:tcW w:w="5001" w:type="dxa"/>
            <w:tcBorders>
              <w:top w:val="single" w:sz="4" w:space="0" w:color="auto"/>
            </w:tcBorders>
          </w:tcPr>
          <w:p w14:paraId="214C2E4D" w14:textId="77777777" w:rsidR="0074086C" w:rsidRDefault="0074086C" w:rsidP="0074086C">
            <w:pPr>
              <w:pStyle w:val="TableCell"/>
            </w:pPr>
            <w:r>
              <w:t>Preserve a durable address to the foreground resource for later use.</w:t>
            </w:r>
          </w:p>
        </w:tc>
      </w:tr>
      <w:tr w:rsidR="0074086C" w14:paraId="150274DE" w14:textId="77777777" w:rsidTr="00A22389">
        <w:trPr>
          <w:jc w:val="center"/>
        </w:trPr>
        <w:tc>
          <w:tcPr>
            <w:tcW w:w="2649" w:type="dxa"/>
          </w:tcPr>
          <w:p w14:paraId="45AE3BAD" w14:textId="77777777" w:rsidR="0074086C" w:rsidRDefault="0074086C" w:rsidP="0074086C">
            <w:pPr>
              <w:pStyle w:val="TableCell"/>
            </w:pPr>
            <w:r>
              <w:rPr>
                <w:rFonts w:hint="eastAsia"/>
              </w:rPr>
              <w:t>H</w:t>
            </w:r>
            <w:r>
              <w:t>ooks (bidirectional links)</w:t>
            </w:r>
          </w:p>
        </w:tc>
        <w:tc>
          <w:tcPr>
            <w:tcW w:w="5001" w:type="dxa"/>
          </w:tcPr>
          <w:p w14:paraId="48342F2C" w14:textId="77777777" w:rsidR="0074086C" w:rsidRDefault="0074086C" w:rsidP="0074086C">
            <w:pPr>
              <w:pStyle w:val="TableCell"/>
            </w:pPr>
            <w:r>
              <w:t>Make a relationship navigable from either resource without editing either one.</w:t>
            </w:r>
          </w:p>
        </w:tc>
      </w:tr>
      <w:tr w:rsidR="0074086C" w14:paraId="5668F088" w14:textId="77777777" w:rsidTr="00A22389">
        <w:trPr>
          <w:jc w:val="center"/>
        </w:trPr>
        <w:tc>
          <w:tcPr>
            <w:tcW w:w="2649" w:type="dxa"/>
          </w:tcPr>
          <w:p w14:paraId="1A4A1FE0" w14:textId="77777777" w:rsidR="0074086C" w:rsidRDefault="0074086C" w:rsidP="0074086C">
            <w:pPr>
              <w:pStyle w:val="TableCell"/>
            </w:pPr>
            <w:r>
              <w:t>Context window</w:t>
            </w:r>
          </w:p>
        </w:tc>
        <w:tc>
          <w:tcPr>
            <w:tcW w:w="5001" w:type="dxa"/>
          </w:tcPr>
          <w:p w14:paraId="28B582D5" w14:textId="77777777" w:rsidR="0074086C" w:rsidRDefault="0074086C" w:rsidP="0074086C">
            <w:pPr>
              <w:pStyle w:val="TableCell"/>
            </w:pPr>
            <w:r>
              <w:t>Present links and recommendations in relation to the foreground resource.</w:t>
            </w:r>
          </w:p>
        </w:tc>
      </w:tr>
      <w:tr w:rsidR="0074086C" w14:paraId="02588FF5" w14:textId="77777777" w:rsidTr="00A22389">
        <w:trPr>
          <w:jc w:val="center"/>
        </w:trPr>
        <w:tc>
          <w:tcPr>
            <w:tcW w:w="2649" w:type="dxa"/>
          </w:tcPr>
          <w:p w14:paraId="12E0725E" w14:textId="77777777" w:rsidR="0074086C" w:rsidRDefault="0074086C" w:rsidP="0074086C">
            <w:pPr>
              <w:pStyle w:val="TableCell"/>
            </w:pPr>
            <w:r>
              <w:t>Hook to New</w:t>
            </w:r>
          </w:p>
        </w:tc>
        <w:tc>
          <w:tcPr>
            <w:tcW w:w="5001" w:type="dxa"/>
          </w:tcPr>
          <w:p w14:paraId="47903546" w14:textId="77777777" w:rsidR="0074086C" w:rsidRDefault="0074086C" w:rsidP="0074086C">
            <w:pPr>
              <w:pStyle w:val="TableCell"/>
            </w:pPr>
            <w:r>
              <w:t>Create a new knowledge artifact while preserving its provenance and return path.</w:t>
            </w:r>
          </w:p>
        </w:tc>
      </w:tr>
      <w:tr w:rsidR="0074086C" w14:paraId="67A66D71" w14:textId="77777777" w:rsidTr="00A22389">
        <w:trPr>
          <w:jc w:val="center"/>
        </w:trPr>
        <w:tc>
          <w:tcPr>
            <w:tcW w:w="2649" w:type="dxa"/>
          </w:tcPr>
          <w:p w14:paraId="1A974F19" w14:textId="77777777" w:rsidR="0074086C" w:rsidRDefault="0074086C" w:rsidP="0074086C">
            <w:pPr>
              <w:pStyle w:val="TableCell"/>
            </w:pPr>
            <w:r>
              <w:t>Deep linking</w:t>
            </w:r>
          </w:p>
        </w:tc>
        <w:tc>
          <w:tcPr>
            <w:tcW w:w="5001" w:type="dxa"/>
          </w:tcPr>
          <w:p w14:paraId="39C22230" w14:textId="77777777" w:rsidR="0074086C" w:rsidRDefault="0074086C" w:rsidP="0074086C">
            <w:pPr>
              <w:pStyle w:val="TableCell"/>
            </w:pPr>
            <w:r>
              <w:t>Return to the relevant page, passage, message, task, or object rather than merely its container.</w:t>
            </w:r>
          </w:p>
        </w:tc>
      </w:tr>
      <w:tr w:rsidR="0074086C" w14:paraId="108FD417" w14:textId="77777777" w:rsidTr="00A22389">
        <w:trPr>
          <w:jc w:val="center"/>
        </w:trPr>
        <w:tc>
          <w:tcPr>
            <w:tcW w:w="2649" w:type="dxa"/>
          </w:tcPr>
          <w:p w14:paraId="76C1785E" w14:textId="77777777" w:rsidR="0074086C" w:rsidRDefault="0074086C" w:rsidP="0074086C">
            <w:pPr>
              <w:pStyle w:val="TableCell"/>
            </w:pPr>
            <w:r>
              <w:t>Unified bookmarks and tags</w:t>
            </w:r>
          </w:p>
        </w:tc>
        <w:tc>
          <w:tcPr>
            <w:tcW w:w="5001" w:type="dxa"/>
          </w:tcPr>
          <w:p w14:paraId="773392B3" w14:textId="77777777" w:rsidR="0074086C" w:rsidRDefault="0074086C" w:rsidP="0074086C">
            <w:pPr>
              <w:pStyle w:val="TableCell"/>
            </w:pPr>
            <w:r>
              <w:t>Provide a cross-app index while preserving links to resources in their native apps.</w:t>
            </w:r>
          </w:p>
        </w:tc>
      </w:tr>
      <w:tr w:rsidR="0074086C" w14:paraId="055BD6E9" w14:textId="77777777" w:rsidTr="00A22389">
        <w:trPr>
          <w:jc w:val="center"/>
        </w:trPr>
        <w:tc>
          <w:tcPr>
            <w:tcW w:w="2649" w:type="dxa"/>
          </w:tcPr>
          <w:p w14:paraId="78C841F4" w14:textId="77777777" w:rsidR="0074086C" w:rsidRDefault="0074086C" w:rsidP="0074086C">
            <w:pPr>
              <w:pStyle w:val="TableCell"/>
            </w:pPr>
            <w:r>
              <w:t>Contextual recommendations</w:t>
            </w:r>
          </w:p>
        </w:tc>
        <w:tc>
          <w:tcPr>
            <w:tcW w:w="5001" w:type="dxa"/>
          </w:tcPr>
          <w:p w14:paraId="35973869" w14:textId="77777777" w:rsidR="0074086C" w:rsidRDefault="0074086C" w:rsidP="0074086C">
            <w:pPr>
              <w:pStyle w:val="TableCell"/>
            </w:pPr>
            <w:r>
              <w:t>Surface likely relevant resources not explicitly linked by the user.</w:t>
            </w:r>
          </w:p>
        </w:tc>
      </w:tr>
    </w:tbl>
    <w:p w14:paraId="79EDAAAA" w14:textId="77777777" w:rsidR="00526E0C" w:rsidRDefault="00526E0C" w:rsidP="001105C1">
      <w:pPr>
        <w:pStyle w:val="ParaContinue"/>
      </w:pPr>
    </w:p>
    <w:p w14:paraId="325A1AD0" w14:textId="51A96189" w:rsidR="00526E0C" w:rsidRDefault="00D6219F" w:rsidP="00D6219F">
      <w:pPr>
        <w:pStyle w:val="Image"/>
      </w:pPr>
      <w:r>
        <w:rPr>
          <w:noProof/>
        </w:rPr>
        <w:lastRenderedPageBreak/>
        <w:drawing>
          <wp:inline distT="0" distB="0" distL="0" distR="0" wp14:anchorId="6A0F9624" wp14:editId="0AFEB204">
            <wp:extent cx="4308231" cy="3933715"/>
            <wp:effectExtent l="0" t="0" r="0" b="3810"/>
            <wp:docPr id="15733442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344259" name="Picture 1573344259"/>
                    <pic:cNvPicPr/>
                  </pic:nvPicPr>
                  <pic:blipFill>
                    <a:blip r:embed="rId7"/>
                    <a:stretch>
                      <a:fillRect/>
                    </a:stretch>
                  </pic:blipFill>
                  <pic:spPr>
                    <a:xfrm>
                      <a:off x="0" y="0"/>
                      <a:ext cx="4324149" cy="3948249"/>
                    </a:xfrm>
                    <a:prstGeom prst="rect">
                      <a:avLst/>
                    </a:prstGeom>
                  </pic:spPr>
                </pic:pic>
              </a:graphicData>
            </a:graphic>
          </wp:inline>
        </w:drawing>
      </w:r>
    </w:p>
    <w:p w14:paraId="72B4298F" w14:textId="59CA288C" w:rsidR="00D6219F" w:rsidRDefault="00AD2094" w:rsidP="00D6219F">
      <w:pPr>
        <w:pStyle w:val="FigureCaption"/>
      </w:pPr>
      <w:r>
        <w:t xml:space="preserve">Figure 1: </w:t>
      </w:r>
      <w:r w:rsidR="00D6219F" w:rsidRPr="00867387">
        <w:t xml:space="preserve">The foreground resource serves as a content-addressable </w:t>
      </w:r>
      <w:r w:rsidR="00D6219F" w:rsidRPr="003A6E97">
        <w:t xml:space="preserve">retrieval cue </w:t>
      </w:r>
      <w:r w:rsidR="00D6219F" w:rsidRPr="00867387">
        <w:t>into an information ecosystem comprising papers, notes, email, tasks, datasets, AI conversations, files, and other sources. HR-CIR restores task-relevant context through explicit contextual app links and inferred contextual recommendations</w:t>
      </w:r>
    </w:p>
    <w:p w14:paraId="38AAF30F" w14:textId="4F3454EF" w:rsidR="00D6219F" w:rsidRDefault="004B7A97" w:rsidP="004B7A97">
      <w:pPr>
        <w:pStyle w:val="Head2"/>
      </w:pPr>
      <w:r w:rsidRPr="004B7A97">
        <w:t>App Links and Hooks</w:t>
      </w:r>
    </w:p>
    <w:p w14:paraId="79A824E6" w14:textId="2BE79F47" w:rsidR="004B7A97" w:rsidRDefault="004B7A97" w:rsidP="004B7A97">
      <w:pPr>
        <w:pStyle w:val="PostHeadPara"/>
      </w:pPr>
      <w:r w:rsidRPr="009C7D6B">
        <w:t>An app link identifies a resource handled by an app</w:t>
      </w:r>
      <w:r>
        <w:t>, commonly through a custom URL scheme such as omnifocus:// or x-</w:t>
      </w:r>
      <w:proofErr w:type="spellStart"/>
      <w:r>
        <w:t>devonthink</w:t>
      </w:r>
      <w:proofErr w:type="spellEnd"/>
      <w:r>
        <w:t>-item://. Web links are included when the addressed resource is a web page. App links are not inherently contextual: they can be pasted into documents, tasks, email, or messages. They become contextual when an HR-CIR system presents them in relation to a foreground resource (in a context window).</w:t>
      </w:r>
    </w:p>
    <w:p w14:paraId="08D5D83B" w14:textId="10576156" w:rsidR="004B7A97" w:rsidRDefault="004B7A97" w:rsidP="001105C1">
      <w:pPr>
        <w:pStyle w:val="ParaContinue"/>
      </w:pPr>
      <w:r>
        <w:t>A hook is a bidirectional relationship implemented as reciprocal links. Hooks need not be embedded in either endpoint; an HR-CIR database can store them externally and present them when either endpoint is in the foreground. This is useful when users cannot or should not modify the linked resources, as with received email, published PDFs, or records managed by another app.</w:t>
      </w:r>
    </w:p>
    <w:p w14:paraId="1A2B9652" w14:textId="65BCC46C" w:rsidR="004B7A97" w:rsidRDefault="004B7A97" w:rsidP="004B7A97">
      <w:pPr>
        <w:pStyle w:val="Head2"/>
      </w:pPr>
      <w:r w:rsidRPr="004B7A97">
        <w:t>Contextual Recommendations: Beyond Explicit Hyperlinks</w:t>
      </w:r>
    </w:p>
    <w:p w14:paraId="3F9C7E0D" w14:textId="4838D1CA" w:rsidR="004B7A97" w:rsidRDefault="004B7A97" w:rsidP="004B7A97">
      <w:pPr>
        <w:pStyle w:val="PostHeadPara"/>
      </w:pPr>
      <w:r>
        <w:t>Explicit contextual app links preserve relationships the user has chosen to retain. Contextual recommendations complement those links by surfacing potentially relevant resources that have not been explicitly connected. That is</w:t>
      </w:r>
      <w:r w:rsidR="00A460F5">
        <w:t xml:space="preserve">, </w:t>
      </w:r>
      <w:r>
        <w:t xml:space="preserve">HR-CIR should also recommend resources that have not been bookmarked or hooked. Hookmark's RELATED section illustrates this </w:t>
      </w:r>
      <w:r>
        <w:lastRenderedPageBreak/>
        <w:t>capability: it displays links recommended from the current foreground item and can include arbitrary information from link-friendly apps, including files, email, documents, tasks, notes, datasets, and figures [7].</w:t>
      </w:r>
    </w:p>
    <w:p w14:paraId="4DCF2471" w14:textId="1CCF6596" w:rsidR="004B7A97" w:rsidRDefault="004B7A97" w:rsidP="004B7A97">
      <w:pPr>
        <w:pStyle w:val="PostHeadPara"/>
      </w:pPr>
      <w:r>
        <w:t>The design objective differs from that of many web recommenders. A platform web recommender may optimize engagement, revenue, or aggregate popularity. An HR-CIR recommender should optimize relevance to the user's immediate knowledge work. Candidate evidence for the recommendations includes identifiers such as DOI, citation relations, file provenance, app metadata, user-created links and tags, project membership, temporal episodes, semantic similarity, prior user interactions, and AI inference. Relationships created by a common scholarly or design process may matter even when lexical similarity is weak [2].</w:t>
      </w:r>
    </w:p>
    <w:p w14:paraId="696243A0" w14:textId="40272190" w:rsidR="005B61AA" w:rsidRDefault="005B61AA" w:rsidP="005B61AA">
      <w:pPr>
        <w:pStyle w:val="ParaContinue"/>
      </w:pPr>
      <w:r>
        <w:t>Recommendations should remain inspectable and subordinate to agency. The user should be able to distinguish explicit hooks from inferred relations, suppress irrelevant sources, and understand why an item was proposed. Contextual recommendation is therefore not simply ranking; it is a component of an epistemic interface.</w:t>
      </w:r>
    </w:p>
    <w:p w14:paraId="765FED6B" w14:textId="4CB1E758" w:rsidR="005B61AA" w:rsidRDefault="005B61AA" w:rsidP="005B61AA">
      <w:pPr>
        <w:pStyle w:val="ParaContinue"/>
      </w:pPr>
      <w:r>
        <w:t xml:space="preserve">Traditional hypertext emphasized creating and traversing links among documents. HR-CIR retains that capability but makes the foreground resource, globally, the primary retrieval cue. </w:t>
      </w:r>
      <w:r w:rsidRPr="004C0BD6">
        <w:t>Its principal innovation is therefore not the links themselves, but the addressing mechanism that determines which contextual app links and contextual recommendations are presented.</w:t>
      </w:r>
      <w:r>
        <w:t xml:space="preserve"> The same interface can support both explicit, persistent relationships and inferred, dynamic ones.</w:t>
      </w:r>
    </w:p>
    <w:p w14:paraId="43521834" w14:textId="46EE3A74" w:rsidR="004B7A97" w:rsidRDefault="005B61AA" w:rsidP="005B61AA">
      <w:pPr>
        <w:pStyle w:val="Head1"/>
      </w:pPr>
      <w:r w:rsidRPr="005B61AA">
        <w:t>EPISTEMIC AGENCY AND COGNITIVE PRODUCTIVITY</w:t>
      </w:r>
    </w:p>
    <w:p w14:paraId="63C8259A" w14:textId="10044161" w:rsidR="004B7A97" w:rsidRDefault="005B61AA" w:rsidP="005B61AA">
      <w:pPr>
        <w:pStyle w:val="PostHeadPara"/>
      </w:pPr>
      <w:r w:rsidRPr="00CD24CF">
        <w:t>We use the term epistemic agency</w:t>
      </w:r>
      <w:r>
        <w:t xml:space="preserve"> </w:t>
      </w:r>
      <w:r w:rsidRPr="00CD24CF">
        <w:t xml:space="preserve">broadly to refer to </w:t>
      </w:r>
      <w:r>
        <w:t xml:space="preserve">the capacity of an autonomous agent to direct and improve its interactions with knowledge resources in the service of its projects and goals, norms (standards), and attitudes (preferences) </w:t>
      </w:r>
      <w:r w:rsidRPr="00682ABF">
        <w:t>[19]</w:t>
      </w:r>
      <w:r>
        <w:t>. This includes managing its processing of knowledge resources: Strategically Surfing (selecting, skimming, retrieving, etc.), Analytically Assessing, Delving deeply, Practicing Productively, and Applying (solving problems, building new knowledge and improv</w:t>
      </w:r>
      <w:r w:rsidR="00EE4901">
        <w:t>ing</w:t>
      </w:r>
      <w:r>
        <w:t xml:space="preserve"> themselves) the knowledge. The agent's self-improvement ideally involves developing the motivators, motive generators, habits, and other mindware through which future knowing and acting occur</w:t>
      </w:r>
      <w:r w:rsidRPr="00CD24CF">
        <w:t xml:space="preserve">. </w:t>
      </w:r>
      <w:r>
        <w:t xml:space="preserve">This concept is </w:t>
      </w:r>
      <w:r w:rsidR="00934C89" w:rsidRPr="00934C89">
        <w:t xml:space="preserve">grounded in the theoretical and applied Cognitive Productivity framework </w:t>
      </w:r>
      <w:r w:rsidRPr="00545D55">
        <w:t>[1,8]</w:t>
      </w:r>
      <w:r>
        <w:t>.</w:t>
      </w:r>
    </w:p>
    <w:p w14:paraId="2B2EA53E" w14:textId="05777126" w:rsidR="005B61AA" w:rsidRDefault="005B61AA" w:rsidP="005B61AA">
      <w:pPr>
        <w:pStyle w:val="ParaContinue"/>
      </w:pPr>
      <w:r w:rsidRPr="00CD24CF">
        <w:t xml:space="preserve">This </w:t>
      </w:r>
      <w:r>
        <w:t xml:space="preserve">theory-based definition significantly </w:t>
      </w:r>
      <w:r w:rsidRPr="00CD24CF">
        <w:t xml:space="preserve">extends </w:t>
      </w:r>
      <w:r>
        <w:t xml:space="preserve">and refines </w:t>
      </w:r>
      <w:r w:rsidRPr="00CD24CF">
        <w:t xml:space="preserve">prior accounts of epistemic agency in the learning sciences and educational psychology, which emphasize learners' active participation in knowledge construction and regulation (e.g., </w:t>
      </w:r>
      <w:r>
        <w:t>[13,14]</w:t>
      </w:r>
      <w:r w:rsidRPr="00CD24CF">
        <w:t xml:space="preserve">). HR-CIR addresses one architectural constraint on epistemic agency by reducing the cost of restoring task-relevant context. </w:t>
      </w:r>
      <w:r>
        <w:t xml:space="preserve"> It concerns not only what a person knows but how </w:t>
      </w:r>
      <w:r w:rsidRPr="004E602C">
        <w:t>effectively that person can bring knowledge to bear</w:t>
      </w:r>
      <w:r>
        <w:t xml:space="preserve"> in pursuit of goals. </w:t>
      </w:r>
      <w:r w:rsidRPr="00E5236A">
        <w:t>Cognitive Productivity is an integrative design-oriented framework for understanding how people use knowledge to become profoundly effective</w:t>
      </w:r>
      <w:r>
        <w:t>, and to help people do this better</w:t>
      </w:r>
      <w:r w:rsidRPr="00E5236A">
        <w:t xml:space="preserve"> </w:t>
      </w:r>
      <w:r>
        <w:t>[1,8]. HR-CIR primarily advances the principle of Strategic Surfing: the deliberate and strategic use of superficial information processing, including searching, browsing, skimming, scanning, and contextual retrieval. Such processing is indispensable; the challenge is to perform it without unnecessary interruption, disorientation, or distraction.</w:t>
      </w:r>
    </w:p>
    <w:p w14:paraId="413F8408" w14:textId="7B169AF6" w:rsidR="005B61AA" w:rsidRDefault="005B61AA" w:rsidP="005B61AA">
      <w:pPr>
        <w:pStyle w:val="ParaContinue"/>
      </w:pPr>
      <w:r w:rsidRPr="009940E4">
        <w:t>The meta-access problem constrains epistemic agency and Strategic Surfing</w:t>
      </w:r>
      <w:r>
        <w:t xml:space="preserve">. A person may possess highly relevant evidence, criticism, or explanation yet fail to bring it to bear because it is difficult to re-access at the right moment. </w:t>
      </w:r>
      <w:r w:rsidRPr="00334852">
        <w:t>Meta-access costs include deciding where</w:t>
      </w:r>
      <w:r>
        <w:t xml:space="preserve"> and how</w:t>
      </w:r>
      <w:r w:rsidRPr="00334852">
        <w:t xml:space="preserve"> to search</w:t>
      </w:r>
      <w:r>
        <w:t>, recalling names and keywords, switching task modes, filtering results, resisting distraction, and reconstructing mental context. These operations consume working</w:t>
      </w:r>
      <w:r w:rsidR="00D20FCE">
        <w:t xml:space="preserve"> </w:t>
      </w:r>
      <w:r>
        <w:t>memory, other executive resources</w:t>
      </w:r>
      <w:r w:rsidR="00FD7ED5">
        <w:t>,</w:t>
      </w:r>
      <w:r>
        <w:t xml:space="preserve"> and time that could otherwise support comprehension, deliberation, problem solving, and writing.</w:t>
      </w:r>
    </w:p>
    <w:p w14:paraId="5FC854DB" w14:textId="07A122DD" w:rsidR="005B61AA" w:rsidRDefault="005B61AA" w:rsidP="005B61AA">
      <w:pPr>
        <w:pStyle w:val="ParaContinue"/>
      </w:pPr>
      <w:r w:rsidRPr="00334852">
        <w:t>From an architectural perspective, HR-CIR inserts an external contextual retrieval mechanism into the user's information-processing architecture</w:t>
      </w:r>
      <w:r>
        <w:t xml:space="preserve"> [9]. It helps a user become more intelligent as defined in [19], by helping </w:t>
      </w:r>
      <w:r w:rsidR="00C2047C">
        <w:t>the user</w:t>
      </w:r>
      <w:r>
        <w:t xml:space="preserve"> make use of relevant </w:t>
      </w:r>
      <w:r w:rsidRPr="00C523E9">
        <w:t>knowledge resources</w:t>
      </w:r>
      <w:r>
        <w:t xml:space="preserve">. It augments a particular function: reactivating task-relevant external </w:t>
      </w:r>
      <w:r>
        <w:lastRenderedPageBreak/>
        <w:t xml:space="preserve">representations and relationships while governing activity over time. By making superficial information processing more strategic, it can also </w:t>
      </w:r>
      <w:r w:rsidRPr="002E5B01">
        <w:t xml:space="preserve">free attention for deeper assessment, learning, practice, and application </w:t>
      </w:r>
      <w:r>
        <w:t>in accordance with the Cognitive Productivity framework</w:t>
      </w:r>
      <w:r w:rsidR="008C7441">
        <w:t>.</w:t>
      </w:r>
    </w:p>
    <w:p w14:paraId="5A542B8C" w14:textId="69717E97" w:rsidR="00115CB0" w:rsidRDefault="00115CB0" w:rsidP="00115CB0">
      <w:pPr>
        <w:pStyle w:val="Head1"/>
      </w:pPr>
      <w:r w:rsidRPr="00115CB0">
        <w:t>EXTENDING WORKING MEMORY AND CONSCIOUS GOVERNANCE</w:t>
      </w:r>
    </w:p>
    <w:p w14:paraId="69F62323" w14:textId="4B48A5A2" w:rsidR="005B61AA" w:rsidRDefault="00115CB0" w:rsidP="00115CB0">
      <w:pPr>
        <w:pStyle w:val="Head2"/>
      </w:pPr>
      <w:r w:rsidRPr="00115CB0">
        <w:t>Long-Term Working Memory</w:t>
      </w:r>
    </w:p>
    <w:p w14:paraId="1FB2B1DB" w14:textId="64B3EFAB" w:rsidR="00115CB0" w:rsidRDefault="00115CB0" w:rsidP="00115CB0">
      <w:pPr>
        <w:pStyle w:val="PostHeadPara"/>
      </w:pPr>
      <w:r w:rsidRPr="00115CB0">
        <w:t xml:space="preserve">Ericsson and Kintsch's theory of long-term working memory </w:t>
      </w:r>
      <w:proofErr w:type="gramStart"/>
      <w:r w:rsidRPr="00115CB0">
        <w:t>explains</w:t>
      </w:r>
      <w:proofErr w:type="gramEnd"/>
      <w:r w:rsidRPr="00115CB0">
        <w:t xml:space="preserve"> how experts use learned retrieval structures to access domain knowledge rapidly while performing complex tasks [10]. HR-CIR does not reproduce expert memory, but well-placed app links can serve an analogous functional role in digital work. They provide external retrieval cues tailored to a particular task context. By lowering re-access costs, they can free limited working memory for interpretation, comparison, planning, and criticism</w:t>
      </w:r>
    </w:p>
    <w:p w14:paraId="631C9B2F" w14:textId="37112CE8" w:rsidR="005B61AA" w:rsidRDefault="00115CB0" w:rsidP="00115CB0">
      <w:pPr>
        <w:pStyle w:val="Head2"/>
      </w:pPr>
      <w:r w:rsidRPr="00115CB0">
        <w:t>Donald: Intermediate and Long-Term Consciousness</w:t>
      </w:r>
    </w:p>
    <w:p w14:paraId="7ECC7423" w14:textId="3B702818" w:rsidR="005B61AA" w:rsidRDefault="00115CB0" w:rsidP="00115CB0">
      <w:pPr>
        <w:pStyle w:val="PostHeadPara"/>
      </w:pPr>
      <w:r>
        <w:t xml:space="preserve">Donald's account is broader than expertise. In </w:t>
      </w:r>
      <w:r w:rsidRPr="00F61231">
        <w:rPr>
          <w:i/>
          <w:iCs/>
        </w:rPr>
        <w:t>A Mind So Rare</w:t>
      </w:r>
      <w:r>
        <w:t xml:space="preserve">, he presents consciousness as a multilevel governance system that includes short-term control and intermediate and long-term forms of awareness [3]. Intermediate governance maintains context beyond the immediate sensory present and coordinates working memory with longer-term knowledge. In later work, Donald argues that a computer display can function as a temporary external </w:t>
      </w:r>
      <w:r w:rsidR="00D20FCE">
        <w:t>working memory</w:t>
      </w:r>
      <w:r>
        <w:t xml:space="preserve"> field within an interactive loop of viewing, writing, and thinking [4].</w:t>
      </w:r>
    </w:p>
    <w:p w14:paraId="08015348" w14:textId="4338D1BB" w:rsidR="00115CB0" w:rsidRDefault="00115CB0" w:rsidP="005B61AA">
      <w:pPr>
        <w:pStyle w:val="ParaContinue"/>
      </w:pPr>
      <w:r w:rsidRPr="00115CB0">
        <w:t xml:space="preserve">HR-CIR can tighten this loop. A conventional display externalizes whatever happens to be </w:t>
      </w:r>
      <w:proofErr w:type="gramStart"/>
      <w:r w:rsidRPr="00115CB0">
        <w:t>open, but</w:t>
      </w:r>
      <w:proofErr w:type="gramEnd"/>
      <w:r w:rsidRPr="00115CB0">
        <w:t xml:space="preserve"> does not by itself restore the network of resources constituting an extended line of thought. Contextual app links make that network selectively actionable. When a foreground paper immediately exposes its notes, references, discussions, tasks, and related drafts, external symbolic resources become more readily recruitable into short-term and intermediate consciousness. When those relationships persist and support resumption months later, they also contribute to governance across longer temporal spans</w:t>
      </w:r>
      <w:r>
        <w:t>.</w:t>
      </w:r>
    </w:p>
    <w:p w14:paraId="3096D5AB" w14:textId="1ECB2405" w:rsidR="00115CB0" w:rsidRDefault="00115CB0" w:rsidP="005B61AA">
      <w:pPr>
        <w:pStyle w:val="ParaContinue"/>
      </w:pPr>
      <w:r>
        <w:t>The claim is not that software literally becomes conscious. Rather, software changes the coupled information-processing system within which human consciousness operates. HR-CIR can extend the effective reach of conscious governance by improving access to external representations when they are relevant. In Cognitive Productivity terms, it enables Strategic Surfing to serve rather than disrupt sustained thought: lightweight retrieval can restore the external context needed for deliberate, longer-term self-governance.</w:t>
      </w:r>
    </w:p>
    <w:p w14:paraId="72706AC9" w14:textId="68F62836" w:rsidR="00115CB0" w:rsidRDefault="00115CB0" w:rsidP="00115CB0">
      <w:pPr>
        <w:pStyle w:val="Head1"/>
      </w:pPr>
      <w:r w:rsidRPr="00115CB0">
        <w:t>DESIGN REQUIREMENTS AND IMPLEMENTATION</w:t>
      </w:r>
    </w:p>
    <w:p w14:paraId="4B8BFFBC" w14:textId="5E7FF0EC" w:rsidR="00115CB0" w:rsidRDefault="00115CB0" w:rsidP="00115CB0">
      <w:pPr>
        <w:pStyle w:val="PostHeadPara"/>
      </w:pPr>
      <w:r>
        <w:t xml:space="preserve">An HR-CIR system depends on link-friendly apps. At minimum, an app should expose a stable link and human-readable title for the current document or object and should resolve that link later. </w:t>
      </w:r>
      <w:r w:rsidRPr="00737256">
        <w:t>Apps that create resources should ideally provide an interface for creating a named resource and immediately returning its link</w:t>
      </w:r>
      <w:r>
        <w:t xml:space="preserve">. Deep linking should identify </w:t>
      </w:r>
      <w:proofErr w:type="spellStart"/>
      <w:r>
        <w:t>subresources</w:t>
      </w:r>
      <w:proofErr w:type="spellEnd"/>
      <w:r>
        <w:t xml:space="preserve"> such as PDF passages, email messages, tasks, notes, or database records.</w:t>
      </w:r>
    </w:p>
    <w:p w14:paraId="5CAA8A98" w14:textId="7318808A" w:rsidR="00115CB0" w:rsidRDefault="00115CB0" w:rsidP="00115CB0">
      <w:pPr>
        <w:pStyle w:val="ParaContinue"/>
      </w:pPr>
      <w:r>
        <w:t>These requirements do not dictate a single technical standard for linking. Apps may expose AppleScript, JavaScript, command-line, x-callback-</w:t>
      </w:r>
      <w:proofErr w:type="spellStart"/>
      <w:r>
        <w:t>url</w:t>
      </w:r>
      <w:proofErr w:type="spellEnd"/>
      <w:r>
        <w:t xml:space="preserve">, REST, plug-in, application-service, API, or other interfaces to obtain links to their resources. </w:t>
      </w:r>
      <w:r w:rsidRPr="00311945">
        <w:t xml:space="preserve">These mechanisms differ, but all contribute to the same objective: making persistent digital resources reliably addressable across apps. </w:t>
      </w:r>
      <w:r>
        <w:t xml:space="preserve">The </w:t>
      </w:r>
      <w:r w:rsidRPr="007E30FC">
        <w:rPr>
          <w:i/>
          <w:iCs/>
        </w:rPr>
        <w:t>Manifesto for Ubiquitous Linking</w:t>
      </w:r>
      <w:r>
        <w:t xml:space="preserve"> argues that persistent digital information should be conveniently addressable through both user-interface and programmatic means [11]. From the HR-CIR perspective, </w:t>
      </w:r>
      <w:r>
        <w:lastRenderedPageBreak/>
        <w:t>interoperability is valuable because each additional link-friendly app enlarges the information ecosystem that can be navigated without centralizing the resources themselves.</w:t>
      </w:r>
    </w:p>
    <w:p w14:paraId="21F8AC2F" w14:textId="1DF5F935" w:rsidR="00A60B6C" w:rsidRDefault="00A60B6C" w:rsidP="00115CB0">
      <w:pPr>
        <w:pStyle w:val="ParaContinue"/>
      </w:pPr>
      <w:r w:rsidRPr="00A60B6C">
        <w:t xml:space="preserve">These requirements are intentionally architectural rather than </w:t>
      </w:r>
      <w:proofErr w:type="gramStart"/>
      <w:r w:rsidRPr="00A60B6C">
        <w:t>implementation-specific</w:t>
      </w:r>
      <w:proofErr w:type="gramEnd"/>
      <w:r w:rsidRPr="00A60B6C">
        <w:t>. They describe the capabilities needed to support HR-CIR, regardless of operating system or individual app</w:t>
      </w:r>
      <w:r>
        <w:t>.</w:t>
      </w:r>
    </w:p>
    <w:p w14:paraId="68C7C32A" w14:textId="0F3A6F64" w:rsidR="00A60B6C" w:rsidRDefault="00A60B6C" w:rsidP="00115CB0">
      <w:pPr>
        <w:pStyle w:val="ParaContinue"/>
      </w:pPr>
      <w:bookmarkStart w:id="11" w:name="OLE_LINK115"/>
      <w:r>
        <w:t xml:space="preserve">Hookmark for macOS developed by </w:t>
      </w:r>
      <w:r w:rsidRPr="00565B30">
        <w:t>CogSci Apps Corp.</w:t>
      </w:r>
      <w:r>
        <w:t xml:space="preserve"> [13] demonstrates the feasibility of HR-CIR capabilities on macOS. It obtains or </w:t>
      </w:r>
      <w:r w:rsidRPr="00AD170A">
        <w:t xml:space="preserve">creates </w:t>
      </w:r>
      <w:r>
        <w:t>links for resources in many apps, stores hooks and unidirectional links, presents a context window for the foreground resource, creates linked resources, and maintains unified bookmarks and tags. It also presents inferred items in a “</w:t>
      </w:r>
      <w:r w:rsidRPr="003A1D27">
        <w:rPr>
          <w:b/>
          <w:bCs/>
        </w:rPr>
        <w:t>RELATED</w:t>
      </w:r>
      <w:r>
        <w:rPr>
          <w:b/>
          <w:bCs/>
        </w:rPr>
        <w:t>”</w:t>
      </w:r>
      <w:r>
        <w:t xml:space="preserve"> section of its context window. Hookmark is therefore an illustrative implementation, existence proof, and design probe; HR-CIR is the broader conceptual contribution</w:t>
      </w:r>
      <w:bookmarkEnd w:id="11"/>
      <w:r>
        <w:t>.</w:t>
      </w:r>
    </w:p>
    <w:p w14:paraId="2F66C331" w14:textId="48634F36" w:rsidR="005B61AA" w:rsidRDefault="00A60B6C" w:rsidP="00A60B6C">
      <w:pPr>
        <w:pStyle w:val="Image"/>
      </w:pPr>
      <w:r>
        <w:rPr>
          <w:noProof/>
        </w:rPr>
        <w:lastRenderedPageBreak/>
        <w:drawing>
          <wp:inline distT="0" distB="0" distL="0" distR="0" wp14:anchorId="24E2A0B6" wp14:editId="09C9188E">
            <wp:extent cx="5319346" cy="4987684"/>
            <wp:effectExtent l="0" t="0" r="2540" b="3810"/>
            <wp:docPr id="1838215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215799" name="Picture 1838215799"/>
                    <pic:cNvPicPr/>
                  </pic:nvPicPr>
                  <pic:blipFill>
                    <a:blip r:embed="rId8"/>
                    <a:stretch>
                      <a:fillRect/>
                    </a:stretch>
                  </pic:blipFill>
                  <pic:spPr>
                    <a:xfrm>
                      <a:off x="0" y="0"/>
                      <a:ext cx="5362269" cy="5027930"/>
                    </a:xfrm>
                    <a:prstGeom prst="rect">
                      <a:avLst/>
                    </a:prstGeom>
                  </pic:spPr>
                </pic:pic>
              </a:graphicData>
            </a:graphic>
          </wp:inline>
        </w:drawing>
      </w:r>
    </w:p>
    <w:p w14:paraId="025079CC" w14:textId="4975581C" w:rsidR="005B61AA" w:rsidRDefault="00A60B6C" w:rsidP="00A60B6C">
      <w:pPr>
        <w:pStyle w:val="FigureCaption"/>
      </w:pPr>
      <w:r>
        <w:t xml:space="preserve">Figure 2. </w:t>
      </w:r>
      <w:r w:rsidRPr="00A60B6C">
        <w:t>Hookmark’s context window evoked on a foreground resource which in this case is a Microsoft</w:t>
      </w:r>
      <w:r w:rsidR="00A16C11">
        <w:t xml:space="preserve"> Word</w:t>
      </w:r>
      <w:r w:rsidRPr="00A60B6C">
        <w:t xml:space="preserve"> draft conference paper.</w:t>
      </w:r>
    </w:p>
    <w:p w14:paraId="2947E2EB" w14:textId="6A2A6A40" w:rsidR="00526E0C" w:rsidRDefault="00AD2094" w:rsidP="001105C1">
      <w:pPr>
        <w:pStyle w:val="ParaContinue"/>
      </w:pPr>
      <w:r>
        <w:t xml:space="preserve">The title bar of the context window always echoes the title of the foreground resource, which in this case is a document in </w:t>
      </w:r>
      <w:r w:rsidRPr="00F26F66">
        <w:t>Microsoft</w:t>
      </w:r>
      <w:r>
        <w:t xml:space="preserve"> Word. The “</w:t>
      </w:r>
      <w:r w:rsidRPr="003A1D27">
        <w:rPr>
          <w:b/>
          <w:bCs/>
        </w:rPr>
        <w:t>HOOKED</w:t>
      </w:r>
      <w:r>
        <w:t xml:space="preserve">” section of the context window represents </w:t>
      </w:r>
      <w:proofErr w:type="gramStart"/>
      <w:r>
        <w:t>a number of</w:t>
      </w:r>
      <w:proofErr w:type="gramEnd"/>
      <w:r>
        <w:t xml:space="preserve"> resources (files and objects) that have been hooked (bidirectionally linked) to the draft. It shows for example: an </w:t>
      </w:r>
      <w:proofErr w:type="spellStart"/>
      <w:r w:rsidRPr="00F26F66">
        <w:t>OmniFocus</w:t>
      </w:r>
      <w:proofErr w:type="spellEnd"/>
      <w:r>
        <w:t xml:space="preserve"> project (task list for the paper), an email from the program committee, a concept map, some figures, a Grammarly page for the paper, a link to the conference’s web page, an outline of the paper, the template for the paper, instructions for how to submit the paper. These information resources are all highly pertinent to the task of writing the paper. Hooks are bidirectional, meaning the user can easily navigate to and from the hooked items.</w:t>
      </w:r>
    </w:p>
    <w:p w14:paraId="0D1E7665" w14:textId="7E3B12C9" w:rsidR="00AD2094" w:rsidRDefault="00AD2094" w:rsidP="001105C1">
      <w:pPr>
        <w:pStyle w:val="ParaContinue"/>
      </w:pPr>
      <w:r w:rsidRPr="000848AF">
        <w:t xml:space="preserve">Collectively, these resources constitute the information ecosystem surrounding the writing task. Rather than requiring the user to remember where each resides or retrieve it independently, HR-CIR restores this task-specific context through a </w:t>
      </w:r>
      <w:r w:rsidRPr="000848AF">
        <w:lastRenderedPageBreak/>
        <w:t>single foreground resource.</w:t>
      </w:r>
      <w:r>
        <w:t xml:space="preserve"> By accessing one resource (such as the draft), all the connected resources become immediately accessible.</w:t>
      </w:r>
    </w:p>
    <w:p w14:paraId="19389FE0" w14:textId="7015B963" w:rsidR="00AD2094" w:rsidRDefault="00AD2094" w:rsidP="001105C1">
      <w:pPr>
        <w:pStyle w:val="ParaContinue"/>
      </w:pPr>
      <w:r>
        <w:t xml:space="preserve">The context window also shows sections for </w:t>
      </w:r>
      <w:r w:rsidRPr="00FB1C40">
        <w:rPr>
          <w:b/>
          <w:bCs/>
        </w:rPr>
        <w:t>RELATED</w:t>
      </w:r>
      <w:r>
        <w:t xml:space="preserve"> (recommended) items and </w:t>
      </w:r>
      <w:r w:rsidRPr="00FB1C40">
        <w:rPr>
          <w:b/>
          <w:bCs/>
        </w:rPr>
        <w:t>INDIRECTLY HOOKED</w:t>
      </w:r>
      <w:r>
        <w:t xml:space="preserve"> items. The latter two sections are collapsed in the image for brevity.</w:t>
      </w:r>
    </w:p>
    <w:p w14:paraId="4FBB0A9E" w14:textId="5AC153A1" w:rsidR="00AD2094" w:rsidRPr="00AD2094" w:rsidRDefault="00AD2094" w:rsidP="00AD2094">
      <w:pPr>
        <w:pStyle w:val="ParaContinue"/>
      </w:pPr>
      <w:bookmarkStart w:id="12" w:name="OLE_LINK123"/>
      <w:r>
        <w:t xml:space="preserve">Figure 3 below illustrates the </w:t>
      </w:r>
      <w:r w:rsidR="00922920" w:rsidRPr="00922920">
        <w:t>Action Menu</w:t>
      </w:r>
      <w:r>
        <w:t xml:space="preserve"> which can be accessed with a keyboard shortcut or by clicking on the “sandwich” icon in the title bar</w:t>
      </w:r>
      <w:bookmarkEnd w:id="12"/>
      <w:r>
        <w:t>.</w:t>
      </w:r>
    </w:p>
    <w:p w14:paraId="0762CD2F" w14:textId="77777777" w:rsidR="00AD2094" w:rsidRDefault="00AD2094" w:rsidP="00AD2094">
      <w:pPr>
        <w:pStyle w:val="FigureCaption"/>
      </w:pPr>
    </w:p>
    <w:p w14:paraId="6B895572" w14:textId="1D7945AD" w:rsidR="00AD2094" w:rsidRDefault="00AD2094" w:rsidP="00AD2094">
      <w:pPr>
        <w:pStyle w:val="FigureCaption"/>
      </w:pPr>
      <w:r>
        <w:rPr>
          <w:noProof/>
        </w:rPr>
        <w:drawing>
          <wp:inline distT="0" distB="0" distL="0" distR="0" wp14:anchorId="6D158AB2" wp14:editId="0CBCFD2D">
            <wp:extent cx="3042031" cy="5336930"/>
            <wp:effectExtent l="0" t="0" r="0" b="0"/>
            <wp:docPr id="9138177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817768" name="Picture 913817768"/>
                    <pic:cNvPicPr/>
                  </pic:nvPicPr>
                  <pic:blipFill>
                    <a:blip r:embed="rId9"/>
                    <a:stretch>
                      <a:fillRect/>
                    </a:stretch>
                  </pic:blipFill>
                  <pic:spPr>
                    <a:xfrm>
                      <a:off x="0" y="0"/>
                      <a:ext cx="3066370" cy="5379630"/>
                    </a:xfrm>
                    <a:prstGeom prst="rect">
                      <a:avLst/>
                    </a:prstGeom>
                  </pic:spPr>
                </pic:pic>
              </a:graphicData>
            </a:graphic>
          </wp:inline>
        </w:drawing>
      </w:r>
    </w:p>
    <w:p w14:paraId="79B14443" w14:textId="1FD47967" w:rsidR="00AD2094" w:rsidRDefault="00AD2094" w:rsidP="00AD2094">
      <w:pPr>
        <w:pStyle w:val="Image"/>
      </w:pPr>
      <w:r>
        <w:t xml:space="preserve">Figure 3: </w:t>
      </w:r>
      <w:r w:rsidRPr="00AD2094">
        <w:t>Hookmark’s Action menu in its context window</w:t>
      </w:r>
    </w:p>
    <w:p w14:paraId="24F69480" w14:textId="77777777" w:rsidR="00AD2094" w:rsidRDefault="00AD2094" w:rsidP="001105C1">
      <w:pPr>
        <w:pStyle w:val="ParaContinue"/>
      </w:pPr>
    </w:p>
    <w:p w14:paraId="2EE2CFCB" w14:textId="6E5DBA95" w:rsidR="00AD2094" w:rsidRDefault="006C2863" w:rsidP="001105C1">
      <w:pPr>
        <w:pStyle w:val="ParaContinue"/>
        <w:rPr>
          <w:lang w:val="en-CA"/>
        </w:rPr>
      </w:pPr>
      <w:r w:rsidRPr="006378A8">
        <w:rPr>
          <w:lang w:val="en-CA"/>
        </w:rPr>
        <w:t xml:space="preserve">The </w:t>
      </w:r>
      <w:r>
        <w:rPr>
          <w:lang w:val="en-CA"/>
        </w:rPr>
        <w:t xml:space="preserve">commands in the </w:t>
      </w:r>
      <w:r w:rsidRPr="006378A8">
        <w:rPr>
          <w:lang w:val="en-CA"/>
        </w:rPr>
        <w:t>action menu</w:t>
      </w:r>
      <w:r>
        <w:rPr>
          <w:lang w:val="en-CA"/>
        </w:rPr>
        <w:t xml:space="preserve"> apply to the title item (which initially is the </w:t>
      </w:r>
      <w:r w:rsidRPr="005E53C8">
        <w:rPr>
          <w:lang w:val="en-CA"/>
        </w:rPr>
        <w:t>foreground</w:t>
      </w:r>
      <w:r>
        <w:rPr>
          <w:lang w:val="en-CA"/>
        </w:rPr>
        <w:t xml:space="preserve"> resource). It </w:t>
      </w:r>
      <w:r w:rsidRPr="006378A8">
        <w:rPr>
          <w:lang w:val="en-CA"/>
        </w:rPr>
        <w:t>has several commands for cop</w:t>
      </w:r>
      <w:r>
        <w:rPr>
          <w:lang w:val="en-CA"/>
        </w:rPr>
        <w:t xml:space="preserve">ying links to the contextual item in various formats. </w:t>
      </w:r>
      <w:r w:rsidRPr="005419FB">
        <w:rPr>
          <w:b/>
          <w:bCs/>
          <w:lang w:val="en-CA"/>
        </w:rPr>
        <w:t>Copy Link</w:t>
      </w:r>
      <w:r>
        <w:rPr>
          <w:lang w:val="en-CA"/>
        </w:rPr>
        <w:t xml:space="preserve"> copies the link in many formats that can be pasted as text, RTF or HTML depending on the receiving app. The link can also be copied in the popular Markdown format. For pasting in web apps that do not accept app links (such as Google Docs), the link can be copied as a Universal Link. The </w:t>
      </w:r>
      <w:r w:rsidRPr="005419FB">
        <w:rPr>
          <w:b/>
          <w:bCs/>
          <w:lang w:val="en-CA"/>
        </w:rPr>
        <w:t>Hooked to Copied</w:t>
      </w:r>
      <w:r w:rsidR="005419FB" w:rsidRPr="005419FB">
        <w:rPr>
          <w:b/>
          <w:bCs/>
          <w:lang w:val="en-CA"/>
        </w:rPr>
        <w:t xml:space="preserve"> Link</w:t>
      </w:r>
      <w:r>
        <w:rPr>
          <w:lang w:val="en-CA"/>
        </w:rPr>
        <w:t xml:space="preserve"> command is how hooks are created</w:t>
      </w:r>
      <w:r w:rsidR="005419FB">
        <w:rPr>
          <w:lang w:val="en-CA"/>
        </w:rPr>
        <w:t>:</w:t>
      </w:r>
      <w:r>
        <w:rPr>
          <w:lang w:val="en-CA"/>
        </w:rPr>
        <w:t xml:space="preserve"> The user first copies a link to a given </w:t>
      </w:r>
      <w:proofErr w:type="gramStart"/>
      <w:r>
        <w:rPr>
          <w:lang w:val="en-CA"/>
        </w:rPr>
        <w:t xml:space="preserve">resource, </w:t>
      </w:r>
      <w:r>
        <w:rPr>
          <w:lang w:val="en-CA"/>
        </w:rPr>
        <w:lastRenderedPageBreak/>
        <w:t>and</w:t>
      </w:r>
      <w:proofErr w:type="gramEnd"/>
      <w:r>
        <w:rPr>
          <w:lang w:val="en-CA"/>
        </w:rPr>
        <w:t xml:space="preserve"> then invokes </w:t>
      </w:r>
      <w:r w:rsidRPr="006A18A0">
        <w:rPr>
          <w:b/>
          <w:bCs/>
          <w:lang w:val="en-CA"/>
        </w:rPr>
        <w:t>Hook to Copied Link</w:t>
      </w:r>
      <w:r>
        <w:rPr>
          <w:lang w:val="en-CA"/>
        </w:rPr>
        <w:t xml:space="preserve"> on another resource. The </w:t>
      </w:r>
      <w:r w:rsidRPr="006A18A0">
        <w:rPr>
          <w:b/>
          <w:bCs/>
          <w:lang w:val="en-CA"/>
        </w:rPr>
        <w:t>Hook to New</w:t>
      </w:r>
      <w:r>
        <w:rPr>
          <w:lang w:val="en-CA"/>
        </w:rPr>
        <w:t xml:space="preserve"> commands when invoked in the context of any </w:t>
      </w:r>
      <w:proofErr w:type="gramStart"/>
      <w:r>
        <w:rPr>
          <w:lang w:val="en-CA"/>
        </w:rPr>
        <w:t>resource:</w:t>
      </w:r>
      <w:proofErr w:type="gramEnd"/>
      <w:r>
        <w:rPr>
          <w:lang w:val="en-CA"/>
        </w:rPr>
        <w:t xml:space="preserve"> creates a new resource in the app of the user’s choice, names the new resource, tags it, and hooks (bidirectionally links) it to the current resource. This is very useful for creating notes from a source in the note-taking app of one’s choice.</w:t>
      </w:r>
    </w:p>
    <w:p w14:paraId="636F95BF" w14:textId="017985D5" w:rsidR="006C2863" w:rsidRDefault="006C2863" w:rsidP="001105C1">
      <w:pPr>
        <w:pStyle w:val="ParaContinue"/>
        <w:rPr>
          <w:lang w:val="en-CA"/>
        </w:rPr>
      </w:pPr>
      <w:r>
        <w:rPr>
          <w:lang w:val="en-CA"/>
        </w:rPr>
        <w:t xml:space="preserve">The </w:t>
      </w:r>
      <w:r w:rsidRPr="006A18A0">
        <w:rPr>
          <w:b/>
          <w:bCs/>
          <w:lang w:val="en-CA"/>
        </w:rPr>
        <w:t>Make Hookmark File</w:t>
      </w:r>
      <w:r>
        <w:rPr>
          <w:lang w:val="en-CA"/>
        </w:rPr>
        <w:t xml:space="preserve"> </w:t>
      </w:r>
      <w:r w:rsidR="001239A4">
        <w:rPr>
          <w:lang w:val="en-CA"/>
        </w:rPr>
        <w:t xml:space="preserve">command </w:t>
      </w:r>
      <w:r>
        <w:rPr>
          <w:lang w:val="en-CA"/>
        </w:rPr>
        <w:t xml:space="preserve">enables users to </w:t>
      </w:r>
      <w:proofErr w:type="gramStart"/>
      <w:r>
        <w:rPr>
          <w:lang w:val="en-CA"/>
        </w:rPr>
        <w:t>create .</w:t>
      </w:r>
      <w:proofErr w:type="spellStart"/>
      <w:r>
        <w:rPr>
          <w:lang w:val="en-CA"/>
        </w:rPr>
        <w:t>hookmark</w:t>
      </w:r>
      <w:proofErr w:type="spellEnd"/>
      <w:proofErr w:type="gramEnd"/>
      <w:r>
        <w:rPr>
          <w:lang w:val="en-CA"/>
        </w:rPr>
        <w:t xml:space="preserve"> files which are like symbolic links except they are plain text (user-editable) and can point to any resource in any link-friendly app</w:t>
      </w:r>
      <w:r w:rsidR="006A18A0">
        <w:rPr>
          <w:lang w:val="en-CA"/>
        </w:rPr>
        <w:t>, not just to files</w:t>
      </w:r>
      <w:r>
        <w:rPr>
          <w:lang w:val="en-CA"/>
        </w:rPr>
        <w:t>. Other commands are provide</w:t>
      </w:r>
      <w:r w:rsidR="007E4448">
        <w:rPr>
          <w:lang w:val="en-CA"/>
        </w:rPr>
        <w:t>d</w:t>
      </w:r>
      <w:r>
        <w:rPr>
          <w:lang w:val="en-CA"/>
        </w:rPr>
        <w:t xml:space="preserve"> as described in Hookmark’s online documentation [17].</w:t>
      </w:r>
    </w:p>
    <w:p w14:paraId="200533AB" w14:textId="3B53E47B" w:rsidR="005D78A9" w:rsidRDefault="005D78A9" w:rsidP="001105C1">
      <w:pPr>
        <w:pStyle w:val="ParaContinue"/>
        <w:rPr>
          <w:lang w:val="en-CA"/>
        </w:rPr>
      </w:pPr>
      <w:r>
        <w:rPr>
          <w:lang w:val="en-CA"/>
        </w:rPr>
        <w:t xml:space="preserve">A </w:t>
      </w:r>
      <w:r>
        <w:rPr>
          <w:b/>
          <w:bCs/>
          <w:lang w:val="en-CA"/>
        </w:rPr>
        <w:t>Tag</w:t>
      </w:r>
      <w:r>
        <w:rPr>
          <w:lang w:val="en-CA"/>
        </w:rPr>
        <w:t xml:space="preserve"> command enables users to apply custom tags to any resource. They can be used for searching in the </w:t>
      </w:r>
      <w:r w:rsidRPr="005D78A9">
        <w:rPr>
          <w:b/>
          <w:bCs/>
          <w:lang w:val="en-CA"/>
        </w:rPr>
        <w:t>Bookmarks</w:t>
      </w:r>
      <w:r>
        <w:rPr>
          <w:lang w:val="en-CA"/>
        </w:rPr>
        <w:t xml:space="preserve"> window.</w:t>
      </w:r>
      <w:r w:rsidR="00E37385">
        <w:rPr>
          <w:lang w:val="en-CA"/>
        </w:rPr>
        <w:t xml:space="preserve"> A </w:t>
      </w:r>
      <w:r w:rsidR="00E37385" w:rsidRPr="00E37385">
        <w:rPr>
          <w:b/>
          <w:bCs/>
          <w:lang w:val="en-CA"/>
        </w:rPr>
        <w:t>Pin</w:t>
      </w:r>
      <w:r w:rsidR="00E37385">
        <w:rPr>
          <w:b/>
          <w:bCs/>
          <w:lang w:val="en-CA"/>
        </w:rPr>
        <w:t xml:space="preserve"> </w:t>
      </w:r>
      <w:r w:rsidR="00E37385" w:rsidRPr="00E37385">
        <w:rPr>
          <w:lang w:val="en-CA"/>
        </w:rPr>
        <w:t>command</w:t>
      </w:r>
      <w:r w:rsidR="00E37385">
        <w:rPr>
          <w:lang w:val="en-CA"/>
        </w:rPr>
        <w:t xml:space="preserve"> enables users to add a resource to the </w:t>
      </w:r>
      <w:r w:rsidR="00E37385" w:rsidRPr="001C7CA1">
        <w:rPr>
          <w:b/>
          <w:bCs/>
          <w:lang w:val="en-CA"/>
        </w:rPr>
        <w:t>PINNED</w:t>
      </w:r>
      <w:r w:rsidR="00E37385">
        <w:rPr>
          <w:lang w:val="en-CA"/>
        </w:rPr>
        <w:t xml:space="preserve"> section of the Bookmarks window.</w:t>
      </w:r>
      <w:r w:rsidR="001C7CA1">
        <w:rPr>
          <w:lang w:val="en-CA"/>
        </w:rPr>
        <w:t xml:space="preserve"> A </w:t>
      </w:r>
      <w:r w:rsidR="001C7CA1" w:rsidRPr="001C7CA1">
        <w:rPr>
          <w:b/>
          <w:bCs/>
          <w:lang w:val="en-CA"/>
        </w:rPr>
        <w:t>Reveal File in Finder</w:t>
      </w:r>
      <w:r w:rsidR="001C7CA1">
        <w:rPr>
          <w:lang w:val="en-CA"/>
        </w:rPr>
        <w:t xml:space="preserve"> command enables users to see the current title item in the Finder</w:t>
      </w:r>
      <w:r w:rsidR="001C7CA1" w:rsidRPr="001C7CA1">
        <w:rPr>
          <w:lang w:val="en-CA"/>
        </w:rPr>
        <w:t>—</w:t>
      </w:r>
      <w:r w:rsidR="001C7CA1">
        <w:rPr>
          <w:lang w:val="en-CA"/>
        </w:rPr>
        <w:t xml:space="preserve">providing another form of contextual </w:t>
      </w:r>
      <w:r w:rsidR="001C7CA1" w:rsidRPr="001C7CA1">
        <w:rPr>
          <w:lang w:val="en-CA"/>
        </w:rPr>
        <w:t>knowledge</w:t>
      </w:r>
      <w:r w:rsidR="001C7CA1">
        <w:rPr>
          <w:lang w:val="en-CA"/>
        </w:rPr>
        <w:t>.</w:t>
      </w:r>
    </w:p>
    <w:p w14:paraId="5F6BDFDC" w14:textId="5F54A708" w:rsidR="00A20900" w:rsidRPr="001C7CA1" w:rsidRDefault="00A20900" w:rsidP="001105C1">
      <w:pPr>
        <w:pStyle w:val="ParaContinue"/>
        <w:rPr>
          <w:lang w:val="en-CA"/>
        </w:rPr>
      </w:pPr>
      <w:r>
        <w:rPr>
          <w:lang w:val="en-CA"/>
        </w:rPr>
        <w:t xml:space="preserve">The app can be customized in many ways using its </w:t>
      </w:r>
      <w:r w:rsidRPr="00A20900">
        <w:rPr>
          <w:b/>
          <w:bCs/>
          <w:lang w:val="en-CA"/>
        </w:rPr>
        <w:t>Settings</w:t>
      </w:r>
      <w:r>
        <w:rPr>
          <w:lang w:val="en-CA"/>
        </w:rPr>
        <w:t xml:space="preserve"> window.</w:t>
      </w:r>
    </w:p>
    <w:p w14:paraId="291CFEA2" w14:textId="2893F361" w:rsidR="006C2863" w:rsidRDefault="006C2863" w:rsidP="001105C1">
      <w:pPr>
        <w:pStyle w:val="ParaContinue"/>
        <w:rPr>
          <w:lang w:val="en-CA"/>
        </w:rPr>
      </w:pPr>
      <w:r w:rsidRPr="007A03C0">
        <w:rPr>
          <w:lang w:val="en-CA"/>
        </w:rPr>
        <w:t>Together, these operations illustrate how HR-CIR supports the creation, preservation, and reactivation of contextual relationships throughout the lifecycle of a knowledge-work project</w:t>
      </w:r>
      <w:r>
        <w:rPr>
          <w:lang w:val="en-CA"/>
        </w:rPr>
        <w:t>.</w:t>
      </w:r>
    </w:p>
    <w:p w14:paraId="215D02A4" w14:textId="4D4851A4" w:rsidR="006C2863" w:rsidRDefault="006C2863" w:rsidP="001105C1">
      <w:pPr>
        <w:pStyle w:val="ParaContinue"/>
        <w:rPr>
          <w:lang w:val="en-CA"/>
        </w:rPr>
      </w:pPr>
      <w:r>
        <w:rPr>
          <w:lang w:val="en-CA"/>
        </w:rPr>
        <w:t>Users can navigate linked items directly from the context window, which causes the title bar to change as the user navigates the network of linked and recommended items.</w:t>
      </w:r>
    </w:p>
    <w:p w14:paraId="4C5D6C56" w14:textId="6D03A8E4" w:rsidR="006C2863" w:rsidRDefault="006C2863" w:rsidP="001105C1">
      <w:pPr>
        <w:pStyle w:val="ParaContinue"/>
        <w:rPr>
          <w:lang w:val="en-CA"/>
        </w:rPr>
      </w:pPr>
      <w:r>
        <w:rPr>
          <w:lang w:val="en-CA"/>
        </w:rPr>
        <w:t xml:space="preserve">Whenever a user copies or hooks a link in Hookmark, Hookmark </w:t>
      </w:r>
      <w:r w:rsidR="00A221C8">
        <w:rPr>
          <w:lang w:val="en-CA"/>
        </w:rPr>
        <w:t xml:space="preserve">also </w:t>
      </w:r>
      <w:r>
        <w:rPr>
          <w:lang w:val="en-CA"/>
        </w:rPr>
        <w:t xml:space="preserve">creates a persistent bookmark (link). Hookmark also contains a </w:t>
      </w:r>
      <w:r w:rsidRPr="001879E9">
        <w:rPr>
          <w:b/>
          <w:bCs/>
          <w:lang w:val="en-CA"/>
        </w:rPr>
        <w:t>Bookmarks</w:t>
      </w:r>
      <w:r>
        <w:rPr>
          <w:lang w:val="en-CA"/>
        </w:rPr>
        <w:t xml:space="preserve"> window in which users can search and tag all their bookmarks. It turns out that copying links and hooking them are excellent indicators of </w:t>
      </w:r>
      <w:r w:rsidRPr="00E153DA">
        <w:rPr>
          <w:lang w:val="en-CA"/>
        </w:rPr>
        <w:t>discriminative utility</w:t>
      </w:r>
      <w:r>
        <w:rPr>
          <w:lang w:val="en-CA"/>
        </w:rPr>
        <w:t xml:space="preserve"> of information, meaning these bookmarks are items that the user is likely to want to re-access. This contrasts with launchers (</w:t>
      </w:r>
      <w:proofErr w:type="spellStart"/>
      <w:proofErr w:type="gramStart"/>
      <w:r>
        <w:rPr>
          <w:lang w:val="en-CA"/>
        </w:rPr>
        <w:t>e..g</w:t>
      </w:r>
      <w:proofErr w:type="spellEnd"/>
      <w:r>
        <w:rPr>
          <w:lang w:val="en-CA"/>
        </w:rPr>
        <w:t>.</w:t>
      </w:r>
      <w:proofErr w:type="gramEnd"/>
      <w:r>
        <w:rPr>
          <w:lang w:val="en-CA"/>
        </w:rPr>
        <w:t xml:space="preserve">, </w:t>
      </w:r>
      <w:proofErr w:type="spellStart"/>
      <w:r>
        <w:rPr>
          <w:lang w:val="en-CA"/>
        </w:rPr>
        <w:t>Launchbar</w:t>
      </w:r>
      <w:proofErr w:type="spellEnd"/>
      <w:r>
        <w:rPr>
          <w:lang w:val="en-CA"/>
        </w:rPr>
        <w:t xml:space="preserve">, Alfred and </w:t>
      </w:r>
      <w:proofErr w:type="spellStart"/>
      <w:r>
        <w:rPr>
          <w:lang w:val="en-CA"/>
        </w:rPr>
        <w:t>Raycast</w:t>
      </w:r>
      <w:proofErr w:type="spellEnd"/>
      <w:r>
        <w:rPr>
          <w:lang w:val="en-CA"/>
        </w:rPr>
        <w:t>) and search tools (such as Spotlight) that index all</w:t>
      </w:r>
      <w:r w:rsidR="001879E9">
        <w:rPr>
          <w:lang w:val="en-CA"/>
        </w:rPr>
        <w:t>,</w:t>
      </w:r>
      <w:r>
        <w:rPr>
          <w:lang w:val="en-CA"/>
        </w:rPr>
        <w:t xml:space="preserve"> </w:t>
      </w:r>
      <w:r w:rsidR="001879E9">
        <w:rPr>
          <w:lang w:val="en-CA"/>
        </w:rPr>
        <w:t xml:space="preserve">or vastly many, </w:t>
      </w:r>
      <w:r>
        <w:rPr>
          <w:lang w:val="en-CA"/>
        </w:rPr>
        <w:t>resources on the file system</w:t>
      </w:r>
      <w:r w:rsidR="00701C93">
        <w:rPr>
          <w:lang w:val="en-CA"/>
        </w:rPr>
        <w:t xml:space="preserve"> </w:t>
      </w:r>
      <w:r w:rsidR="00701C93" w:rsidRPr="00701C93">
        <w:rPr>
          <w:lang w:val="en-CA"/>
        </w:rPr>
        <w:t>—</w:t>
      </w:r>
      <w:r w:rsidR="00701C93">
        <w:rPr>
          <w:lang w:val="en-CA"/>
        </w:rPr>
        <w:t xml:space="preserve"> each index entry has very</w:t>
      </w:r>
      <w:r>
        <w:rPr>
          <w:lang w:val="en-CA"/>
        </w:rPr>
        <w:t xml:space="preserve"> low discriminative utility</w:t>
      </w:r>
      <w:r w:rsidR="00210A79">
        <w:rPr>
          <w:lang w:val="en-CA"/>
        </w:rPr>
        <w:t xml:space="preserve"> meaning for any given entry it is very unlikely that the user will want to re-access it</w:t>
      </w:r>
      <w:r>
        <w:rPr>
          <w:lang w:val="en-CA"/>
        </w:rPr>
        <w:t>.</w:t>
      </w:r>
    </w:p>
    <w:p w14:paraId="5474B360" w14:textId="370254DF" w:rsidR="006C2863" w:rsidRDefault="006C2863" w:rsidP="001105C1">
      <w:pPr>
        <w:pStyle w:val="ParaContinue"/>
      </w:pPr>
      <w:r>
        <w:rPr>
          <w:lang w:val="en-CA"/>
        </w:rPr>
        <w:t xml:space="preserve">Hookmark implements all the requirements of </w:t>
      </w:r>
      <w:r w:rsidRPr="00CD315C">
        <w:t>HR-CIR</w:t>
      </w:r>
      <w:r>
        <w:rPr>
          <w:lang w:val="en-CA"/>
        </w:rPr>
        <w:t xml:space="preserve"> presented above. To our </w:t>
      </w:r>
      <w:r w:rsidRPr="00332465">
        <w:rPr>
          <w:lang w:val="en-CA"/>
        </w:rPr>
        <w:t>knowledge</w:t>
      </w:r>
      <w:r>
        <w:rPr>
          <w:lang w:val="en-CA"/>
        </w:rPr>
        <w:t xml:space="preserve">, </w:t>
      </w:r>
      <w:r w:rsidRPr="00332465">
        <w:rPr>
          <w:lang w:val="en-CA"/>
        </w:rPr>
        <w:t>Hookmark</w:t>
      </w:r>
      <w:r>
        <w:rPr>
          <w:lang w:val="en-CA"/>
        </w:rPr>
        <w:t xml:space="preserve"> is the only </w:t>
      </w:r>
      <w:r w:rsidRPr="00CD315C">
        <w:t>HR-CIR</w:t>
      </w:r>
      <w:r>
        <w:t xml:space="preserve"> on the market of the major </w:t>
      </w:r>
      <w:r w:rsidR="0034584C">
        <w:t>operating</w:t>
      </w:r>
      <w:r>
        <w:t xml:space="preserve"> systems (macOS, Windows, Linux and Android).</w:t>
      </w:r>
      <w:r>
        <w:rPr>
          <w:lang w:val="en-CA"/>
        </w:rPr>
        <w:t xml:space="preserve"> Still, some</w:t>
      </w:r>
      <w:r w:rsidRPr="006378A8">
        <w:rPr>
          <w:lang w:val="en-CA"/>
        </w:rPr>
        <w:t xml:space="preserve"> limitations remain. </w:t>
      </w:r>
      <w:r>
        <w:t>Operating-system sandboxing and absent or unstable APIs constrain cross-app linking, especially on mobile platforms, to link-friendly apps</w:t>
      </w:r>
      <w:r w:rsidR="00CF131E">
        <w:t xml:space="preserve"> [19]</w:t>
      </w:r>
      <w:r>
        <w:t xml:space="preserve"> (apps that have an API and user interface for copying and using links). The recommendation system (</w:t>
      </w:r>
      <w:r w:rsidRPr="00C3740C">
        <w:rPr>
          <w:b/>
          <w:bCs/>
        </w:rPr>
        <w:t>RELATED</w:t>
      </w:r>
      <w:r>
        <w:t xml:space="preserve"> section) is continuously evolving and </w:t>
      </w:r>
      <w:r w:rsidR="00ED229F" w:rsidRPr="00ED229F">
        <w:t>will increasingly incorporate machine-learning methods</w:t>
      </w:r>
      <w:r>
        <w:t xml:space="preserve">. </w:t>
      </w:r>
      <w:r w:rsidRPr="009527E8">
        <w:t xml:space="preserve">Evaluation </w:t>
      </w:r>
      <w:r>
        <w:t xml:space="preserve">of Hookmark </w:t>
      </w:r>
      <w:r w:rsidRPr="009527E8">
        <w:t>should assess not only retrieval efficiency but also interruption costs, resumption quality, error rates, distraction, perceived control, and performance on substantive knowledge tasks</w:t>
      </w:r>
      <w:r>
        <w:t>.</w:t>
      </w:r>
    </w:p>
    <w:p w14:paraId="3CC0E03F" w14:textId="02C48107" w:rsidR="006C2863" w:rsidRDefault="006C2863" w:rsidP="006C2863">
      <w:pPr>
        <w:pStyle w:val="Head1"/>
        <w:rPr>
          <w:lang w:val="en-CA"/>
        </w:rPr>
      </w:pPr>
      <w:r w:rsidRPr="006C2863">
        <w:rPr>
          <w:lang w:val="en-CA"/>
        </w:rPr>
        <w:t>DISCUSSION</w:t>
      </w:r>
    </w:p>
    <w:p w14:paraId="59163D2B" w14:textId="3EB98198" w:rsidR="006C2863" w:rsidRPr="006C2863" w:rsidRDefault="006C2863" w:rsidP="006C2863">
      <w:pPr>
        <w:pStyle w:val="PostHeadPara"/>
        <w:rPr>
          <w:lang w:val="en-CA"/>
        </w:rPr>
      </w:pPr>
      <w:r>
        <w:t>A user’s current</w:t>
      </w:r>
      <w:r w:rsidRPr="00EC307D">
        <w:t xml:space="preserve"> foreground resource gives HR-CIR an </w:t>
      </w:r>
      <w:r w:rsidRPr="00CD2206">
        <w:t>unusually informative cue</w:t>
      </w:r>
      <w:r w:rsidRPr="00EC307D">
        <w:t xml:space="preserve"> about task relevance</w:t>
      </w:r>
      <w:r>
        <w:t xml:space="preserve">, but it is not infallible. Users often pursue several goals at once, and the foreground item may be incidental. Systems should therefore allow users to select a project context, combine foreground and historical signals, and revise or dismiss recommendations. </w:t>
      </w:r>
      <w:r w:rsidRPr="00112E55">
        <w:t>The goal is not to model user intent perfectly, but to reduce the space the user must search</w:t>
      </w:r>
      <w:r>
        <w:t>.</w:t>
      </w:r>
    </w:p>
    <w:p w14:paraId="2B9946E1" w14:textId="4A311320" w:rsidR="006C2863" w:rsidRDefault="00BD5CDD" w:rsidP="001105C1">
      <w:pPr>
        <w:pStyle w:val="ParaContinue"/>
      </w:pPr>
      <w:r>
        <w:t xml:space="preserve">The distinction between explicit hooks and contextual recommendations suggests a productive division of </w:t>
      </w:r>
      <w:proofErr w:type="spellStart"/>
      <w:r>
        <w:t>labour</w:t>
      </w:r>
      <w:proofErr w:type="spellEnd"/>
      <w:r>
        <w:t xml:space="preserve">. Users are best placed to preserve consequential, idiosyncratic relationships; systems are well placed to discover routine, metadata-based, semantic, citation-based, or probabilistic relations. Over time, accepted recommendations might become explicit links, </w:t>
      </w:r>
      <w:r w:rsidRPr="00BA50A4">
        <w:t xml:space="preserve">allowing a </w:t>
      </w:r>
      <w:r w:rsidRPr="00CD2206">
        <w:t>personal contextual graph</w:t>
      </w:r>
      <w:r w:rsidRPr="00BA50A4">
        <w:t xml:space="preserve"> to emerge through interaction rather than requiring comprehensive organization in advance</w:t>
      </w:r>
      <w:r>
        <w:t>.</w:t>
      </w:r>
    </w:p>
    <w:p w14:paraId="12D00729" w14:textId="513982CA" w:rsidR="00BD5CDD" w:rsidRDefault="00BD5CDD" w:rsidP="001105C1">
      <w:pPr>
        <w:pStyle w:val="ParaContinue"/>
      </w:pPr>
      <w:r>
        <w:lastRenderedPageBreak/>
        <w:t xml:space="preserve">The present account is conceptual and </w:t>
      </w:r>
      <w:proofErr w:type="gramStart"/>
      <w:r>
        <w:t>design-oriented</w:t>
      </w:r>
      <w:proofErr w:type="gramEnd"/>
      <w:r>
        <w:t xml:space="preserve">. </w:t>
      </w:r>
      <w:r w:rsidRPr="00795969">
        <w:t>Controlled and longitudinal studies are needed</w:t>
      </w:r>
      <w:r>
        <w:t xml:space="preserve"> to compare HR-CIR with search, folders, reference-manager collections, and conventional bookmarks during realistic reading and writing. Longitudinal studies are especially important because many benefits arise from accumulating links and resuming projects after delays. Evaluation should examine not only efficiency but also Strategic Surfing, other components of epistemic agency enumerated above, continuity of thought, cognitive load, context restoration, interruption, recovery, intermediate and long-term conscious governance. </w:t>
      </w:r>
      <w:r w:rsidRPr="00864FEB">
        <w:t>Understanding these differences will help determine where HR-CIR provides the greatest benefit and how contextual retrieval systems should adapt to different forms of knowledge work</w:t>
      </w:r>
      <w:r>
        <w:t>.</w:t>
      </w:r>
    </w:p>
    <w:p w14:paraId="6E2D2F3A" w14:textId="3EF6FB7D" w:rsidR="007655E7" w:rsidRDefault="007655E7" w:rsidP="001105C1">
      <w:pPr>
        <w:pStyle w:val="ParaContinue"/>
      </w:pPr>
      <w:r w:rsidRPr="00CD315C">
        <w:t xml:space="preserve">The theoretical perspectives developed above are complementary. Ericsson and Kintsch’s account of long-term working memory </w:t>
      </w:r>
      <w:proofErr w:type="gramStart"/>
      <w:r w:rsidRPr="00CD315C">
        <w:t>explains</w:t>
      </w:r>
      <w:proofErr w:type="gramEnd"/>
      <w:r w:rsidRPr="00CD315C">
        <w:t xml:space="preserve"> why task-specific retrieval cues can reduce the effort required to reactivate relevant knowledge during complex activity</w:t>
      </w:r>
      <w:r>
        <w:t>, and how that contributes to expertise</w:t>
      </w:r>
      <w:r w:rsidRPr="00CD315C">
        <w:t xml:space="preserve">. Donald’s account of intermediate and long-term conscious governance explains why persistent external symbolic resources matter once they can be selectively recruited into an extended episode of thought. The concept of epistemic agency identifies the practical consequence: people are better able to direct inquiry, evaluation, reasoning, and action when relevant knowledge can be brought to bear at the appropriate moment. </w:t>
      </w:r>
      <w:r>
        <w:t xml:space="preserve">The Cognitive Productivity framework provides an overall framework for using </w:t>
      </w:r>
      <w:r w:rsidRPr="00CD315C">
        <w:t>knowledge</w:t>
      </w:r>
      <w:r>
        <w:t xml:space="preserve"> to become profoundly effective, including a principle </w:t>
      </w:r>
      <w:r w:rsidRPr="00CD315C">
        <w:t>—</w:t>
      </w:r>
      <w:r>
        <w:t xml:space="preserve">Surf Strategically </w:t>
      </w:r>
      <w:r w:rsidRPr="00CD315C">
        <w:t>—</w:t>
      </w:r>
      <w:r>
        <w:t xml:space="preserve"> to which HR-CIR applies.</w:t>
      </w:r>
      <w:r w:rsidRPr="00CD315C">
        <w:t xml:space="preserve"> </w:t>
      </w:r>
      <w:bookmarkStart w:id="13" w:name="OLE_LINK15"/>
      <w:r w:rsidRPr="00CD315C">
        <w:t xml:space="preserve">HR-CIR </w:t>
      </w:r>
      <w:bookmarkEnd w:id="13"/>
      <w:r w:rsidRPr="00CD315C">
        <w:t>connects these perspectives by supplying an external retrieval architecture in which the foreground resource serves as a cue for restoring a task-relevant information ecosystem. Its contribution is therefore not merely to accelerate access to individual resources, but to improve the coupling between external knowledge, working memory, and the longer-term governance of cognition</w:t>
      </w:r>
      <w:r>
        <w:t>.</w:t>
      </w:r>
    </w:p>
    <w:p w14:paraId="3257B7E1" w14:textId="09A51658" w:rsidR="007655E7" w:rsidRDefault="007655E7" w:rsidP="007655E7">
      <w:pPr>
        <w:pStyle w:val="Head1"/>
        <w:rPr>
          <w:lang w:val="en-CA"/>
        </w:rPr>
      </w:pPr>
      <w:r w:rsidRPr="007655E7">
        <w:rPr>
          <w:lang w:val="en-CA"/>
        </w:rPr>
        <w:t>CONCLUSION</w:t>
      </w:r>
    </w:p>
    <w:p w14:paraId="011B53A4" w14:textId="332AC9D6" w:rsidR="006C2863" w:rsidRDefault="007655E7" w:rsidP="007655E7">
      <w:pPr>
        <w:pStyle w:val="PostHeadPara"/>
      </w:pPr>
      <w:r>
        <w:t xml:space="preserve">Knowledge work increasingly depends on information ecosystems distributed across many apps. Search solves the problem of finding individual resources but not the meta-access problem: re-accessing information because of its relationship to what is currently in the foreground. </w:t>
      </w:r>
      <w:bookmarkStart w:id="14" w:name="OLE_LINK19"/>
      <w:r>
        <w:t xml:space="preserve">HR-CIR </w:t>
      </w:r>
      <w:bookmarkEnd w:id="14"/>
      <w:r>
        <w:t>addresses this gap through a different addressing mechanism. Rather than requiring an explicit query, it treats the foreground resource as a content-addressable cue and presents both explicit contextual app links and inferred contextual recommendations.</w:t>
      </w:r>
    </w:p>
    <w:p w14:paraId="25E29A86" w14:textId="7B85AC5A" w:rsidR="007655E7" w:rsidRDefault="007655E7" w:rsidP="007655E7">
      <w:pPr>
        <w:pStyle w:val="ParaContinue"/>
      </w:pPr>
      <w:r w:rsidRPr="00283CA7">
        <w:t xml:space="preserve">HR-CIR is more than a retrieval technique. From the standpoint of long-term working memory, it provides persistent external retrieval cues. From Donald's theory </w:t>
      </w:r>
      <w:r>
        <w:t xml:space="preserve">of </w:t>
      </w:r>
      <w:r w:rsidRPr="00FD15B3">
        <w:t>consciousness</w:t>
      </w:r>
      <w:r>
        <w:t xml:space="preserve">, </w:t>
      </w:r>
      <w:r w:rsidRPr="00283CA7">
        <w:t>it enriches the coupled cognitive system linking biological cognition with external symbolic resources. From the standpoint of epistemic agency, it strengthens people's ability to intentionally mobilize knowledge during complex work</w:t>
      </w:r>
      <w:r>
        <w:t>.</w:t>
      </w:r>
    </w:p>
    <w:p w14:paraId="0409CF70" w14:textId="285D6BF0" w:rsidR="00AD2094" w:rsidRPr="00216195" w:rsidRDefault="007655E7" w:rsidP="00216195">
      <w:pPr>
        <w:pStyle w:val="ParaContinue"/>
        <w:rPr>
          <w:lang w:val="en-CA"/>
        </w:rPr>
      </w:pPr>
      <w:r>
        <w:t xml:space="preserve">HR-CIR, which </w:t>
      </w:r>
      <w:r w:rsidRPr="00884E3E">
        <w:t>is best understood as a</w:t>
      </w:r>
      <w:r w:rsidRPr="00F11AFD">
        <w:t xml:space="preserve"> new addressing mechanism for restoring task-relevant context within distributed information ecosystems</w:t>
      </w:r>
      <w:r>
        <w:t xml:space="preserve">, is thus designed to support epistemic agency by helping people bring relevant knowledge to bear on ongoing thought and action. It advances Cognitive Productivity chiefly by making Strategic Surfing more deliberate, efficient, and context-sensitive, thereby preserving resources for deeper assessment, learning, problem solving, and application. It can also extend the effective reach of </w:t>
      </w:r>
      <w:r w:rsidRPr="00434249">
        <w:t>long-term working memory</w:t>
      </w:r>
      <w:r>
        <w:t xml:space="preserve"> and conscious governance by tightening the loop between biological cognition and external symbolic resources. The conceptual contribution is HR-CIR: a federated, human-</w:t>
      </w:r>
      <w:proofErr w:type="spellStart"/>
      <w:r>
        <w:t>centred</w:t>
      </w:r>
      <w:proofErr w:type="spellEnd"/>
      <w:r>
        <w:t xml:space="preserve"> retrieval paradigm. Hookmark demonstrates its capabilities are already feasible. </w:t>
      </w:r>
      <w:r w:rsidRPr="003D4C8B">
        <w:t>The broader challenge for hypertext and HCI</w:t>
      </w:r>
      <w:r>
        <w:t xml:space="preserve"> research</w:t>
      </w:r>
      <w:r w:rsidRPr="003D4C8B">
        <w:t xml:space="preserve"> is to </w:t>
      </w:r>
      <w:r>
        <w:t>assess such</w:t>
      </w:r>
      <w:r w:rsidRPr="003D4C8B">
        <w:t xml:space="preserve"> retrieval architectures that restore task-relevant context, thereby strengthening epistemic agency, extending conscious governance, and enabling people to use knowledge more effectively</w:t>
      </w:r>
      <w:r>
        <w:t>.</w:t>
      </w:r>
    </w:p>
    <w:p w14:paraId="43B97B19" w14:textId="77777777" w:rsidR="005B434B" w:rsidRDefault="005B434B" w:rsidP="005B434B">
      <w:pPr>
        <w:pStyle w:val="AckHead"/>
        <w:rPr>
          <w:lang w:eastAsia="en-US"/>
        </w:rPr>
      </w:pPr>
      <w:r>
        <w:t>ACKNOWLEDGMENTS</w:t>
      </w:r>
    </w:p>
    <w:p w14:paraId="3DB440CE" w14:textId="54CD9AB8" w:rsidR="005B434B" w:rsidRDefault="00885126" w:rsidP="005B434B">
      <w:pPr>
        <w:pStyle w:val="AckPara"/>
      </w:pPr>
      <w:r>
        <w:t xml:space="preserve">The author wishes to thank Rachel Horst </w:t>
      </w:r>
      <w:r w:rsidR="00251AB7">
        <w:t xml:space="preserve">of the </w:t>
      </w:r>
      <w:r w:rsidR="00251AB7" w:rsidRPr="00251AB7">
        <w:t>University of British Columbia</w:t>
      </w:r>
      <w:r w:rsidR="00251AB7">
        <w:t xml:space="preserve"> </w:t>
      </w:r>
      <w:r>
        <w:t>for feedback on this paper</w:t>
      </w:r>
      <w:r w:rsidR="005B434B">
        <w:t>.</w:t>
      </w:r>
    </w:p>
    <w:p w14:paraId="1BC73C91" w14:textId="77777777" w:rsidR="005B434B" w:rsidRDefault="005B434B" w:rsidP="005B434B">
      <w:pPr>
        <w:pStyle w:val="ReferenceHead"/>
      </w:pPr>
      <w:r>
        <w:lastRenderedPageBreak/>
        <w:t>REFERENCES</w:t>
      </w:r>
    </w:p>
    <w:p w14:paraId="03A3D612" w14:textId="63DA538C" w:rsidR="00D66DC2" w:rsidRDefault="00D66DC2" w:rsidP="00D66DC2">
      <w:pPr>
        <w:pStyle w:val="Bibentry"/>
      </w:pPr>
      <w:r>
        <w:t xml:space="preserve">Luc P. Beaudoin. 2014. Cognitive Productivity: Using Knowledge to Become Profoundly Effective. </w:t>
      </w:r>
      <w:proofErr w:type="spellStart"/>
      <w:r>
        <w:t>CogZest</w:t>
      </w:r>
      <w:proofErr w:type="spellEnd"/>
      <w:r>
        <w:t>. https://leanpub.com/cognitiveproductivity</w:t>
      </w:r>
    </w:p>
    <w:p w14:paraId="3F5821BB" w14:textId="0D07ACEC" w:rsidR="00D66DC2" w:rsidRDefault="00D66DC2" w:rsidP="00D66DC2">
      <w:pPr>
        <w:pStyle w:val="Bibentry"/>
      </w:pPr>
      <w:r>
        <w:t xml:space="preserve">Luc P. Beaudoin. 2026. Contextual Information Retrieval in the Age of AI. </w:t>
      </w:r>
      <w:proofErr w:type="spellStart"/>
      <w:r>
        <w:t>CogZest</w:t>
      </w:r>
      <w:proofErr w:type="spellEnd"/>
      <w:r>
        <w:t xml:space="preserve"> Substack, July 3, 2026. https://luccogzest.substack.com/p/contextual-information-retrieval</w:t>
      </w:r>
    </w:p>
    <w:p w14:paraId="3312D312" w14:textId="7572B94B" w:rsidR="00D66DC2" w:rsidRDefault="00D66DC2" w:rsidP="00D66DC2">
      <w:pPr>
        <w:pStyle w:val="Bibentry"/>
      </w:pPr>
      <w:r>
        <w:t>Merlin Donald. 2001. A Mind So Rare: The Evolution of Human Consciousness. W. W. Norton, New York.</w:t>
      </w:r>
    </w:p>
    <w:p w14:paraId="74382A62" w14:textId="58E9AD06" w:rsidR="00D66DC2" w:rsidRDefault="00D66DC2" w:rsidP="00D66DC2">
      <w:pPr>
        <w:pStyle w:val="Bibentry"/>
      </w:pPr>
      <w:r>
        <w:t>Merlin Donald. 2004. The definition of human nature in the context of modern neurobiology. In The New Brain Sciences: Perils and Prospects, Dai Rees and Steven Rose (eds.). Cambridge University Press, 34-58.</w:t>
      </w:r>
    </w:p>
    <w:p w14:paraId="29BEF16E" w14:textId="3EE9460B" w:rsidR="00D66DC2" w:rsidRDefault="00D66DC2" w:rsidP="00D66DC2">
      <w:pPr>
        <w:pStyle w:val="Bibentry"/>
      </w:pPr>
      <w:r>
        <w:t>Douglas C. Engelbart. 1962. Augmenting Human Intellect: A Conceptual Framework. Stanford Research Institute. https://www.dougengelbart.org/pubs/augment-3906.html</w:t>
      </w:r>
    </w:p>
    <w:p w14:paraId="1D40DE28" w14:textId="20B14998" w:rsidR="00D66DC2" w:rsidRDefault="00D66DC2" w:rsidP="00D66DC2">
      <w:pPr>
        <w:pStyle w:val="Bibentry"/>
      </w:pPr>
      <w:r>
        <w:t>Amy Pearl. 1989. Sun's Link Service: A Protocol for Open Linking. In Proceedings of Hypertext '89. ACM, 137-146.</w:t>
      </w:r>
    </w:p>
    <w:p w14:paraId="5C976C29" w14:textId="4271F9F3" w:rsidR="00D66DC2" w:rsidRDefault="00D66DC2" w:rsidP="00D66DC2">
      <w:pPr>
        <w:pStyle w:val="Bibentry"/>
      </w:pPr>
      <w:r>
        <w:t>Luc P. Beaudoin. 2026. Learn about the RELATED section of Hookmark's Context window: Hookmark's link recommendation system. Hookmark, July 6, 2026. https://hookproductivity.com/blog/2026/07/learn-about-the-related-section-of-hookmarks-context-window/</w:t>
      </w:r>
    </w:p>
    <w:p w14:paraId="381D539C" w14:textId="4416DBC9" w:rsidR="00D66DC2" w:rsidRDefault="00D66DC2" w:rsidP="00D66DC2">
      <w:pPr>
        <w:pStyle w:val="Bibentry"/>
      </w:pPr>
      <w:r>
        <w:t xml:space="preserve">Luc P. Beaudoin. 2018. Cognitive Productivity with macOS: 7 Principles for Getting Smarter with Knowledge. </w:t>
      </w:r>
      <w:proofErr w:type="spellStart"/>
      <w:r>
        <w:t>CogZest</w:t>
      </w:r>
      <w:proofErr w:type="spellEnd"/>
      <w:r>
        <w:t>. https://leanpub.com/cognitive-productivity-macos</w:t>
      </w:r>
    </w:p>
    <w:p w14:paraId="581D6508" w14:textId="1FA316AC" w:rsidR="00D66DC2" w:rsidRDefault="00D66DC2" w:rsidP="00D66DC2">
      <w:pPr>
        <w:pStyle w:val="Bibentry"/>
      </w:pPr>
      <w:r>
        <w:t xml:space="preserve">Luc P. Beaudoin. 2026. If Intelligence Isn't Binary, What Is It? An Architectural Conception of Intelligence. </w:t>
      </w:r>
      <w:proofErr w:type="spellStart"/>
      <w:r>
        <w:t>CogZest</w:t>
      </w:r>
      <w:proofErr w:type="spellEnd"/>
      <w:r>
        <w:t xml:space="preserve"> Substack, retrieved July 19, </w:t>
      </w:r>
      <w:proofErr w:type="gramStart"/>
      <w:r>
        <w:t>2026</w:t>
      </w:r>
      <w:proofErr w:type="gramEnd"/>
      <w:r w:rsidR="00C33187">
        <w:t xml:space="preserve"> from</w:t>
      </w:r>
      <w:r>
        <w:t xml:space="preserve"> https://luccogzest.substack.com/p/if-intelligence-isnt-binary-what</w:t>
      </w:r>
    </w:p>
    <w:p w14:paraId="7AB9CA2E" w14:textId="2631CDA6" w:rsidR="00D66DC2" w:rsidRDefault="00D66DC2" w:rsidP="00D66DC2">
      <w:pPr>
        <w:pStyle w:val="Bibentry"/>
      </w:pPr>
      <w:r>
        <w:t>K. Anders Ericsson and Walter Kintsch. 1995. Long-term working memory. Psychological Review 102, 2 (1995), 211-245. https://doi.org/10.1037/0033-295X.102.2.211</w:t>
      </w:r>
    </w:p>
    <w:p w14:paraId="448E4497" w14:textId="2B61FDEC" w:rsidR="00D66DC2" w:rsidRDefault="00D66DC2" w:rsidP="00D66DC2">
      <w:pPr>
        <w:pStyle w:val="Bibentry"/>
      </w:pPr>
      <w:r>
        <w:t xml:space="preserve">Luc P. Beaudoin (ed.). 2021. Manifesto for Ubiquitous Linking. </w:t>
      </w:r>
      <w:r w:rsidR="00497699">
        <w:t xml:space="preserve">Retrieved July 19, </w:t>
      </w:r>
      <w:proofErr w:type="gramStart"/>
      <w:r w:rsidR="00497699">
        <w:t>2026</w:t>
      </w:r>
      <w:proofErr w:type="gramEnd"/>
      <w:r w:rsidR="00497699">
        <w:t xml:space="preserve"> from </w:t>
      </w:r>
      <w:r>
        <w:t>https://linkingmanifesto.org</w:t>
      </w:r>
    </w:p>
    <w:p w14:paraId="20EA34B1" w14:textId="01CAF8D0" w:rsidR="00D66DC2" w:rsidRDefault="00D66DC2" w:rsidP="00D66DC2">
      <w:pPr>
        <w:pStyle w:val="Bibentry"/>
      </w:pPr>
      <w:r>
        <w:t>Luc P. Beaudoin. 2022. On applying integrative design-oriented cognitive science to hypertext. HUMAN '22, ACM Hypertext and Social Media. https://www.researchgate.net/publication/361590900</w:t>
      </w:r>
    </w:p>
    <w:p w14:paraId="53F429FD" w14:textId="36368AC7" w:rsidR="00D66DC2" w:rsidRDefault="009361DF" w:rsidP="00D66DC2">
      <w:pPr>
        <w:pStyle w:val="Bibentry"/>
      </w:pPr>
      <w:r>
        <w:t xml:space="preserve">CogSci Apps Corp. </w:t>
      </w:r>
      <w:r w:rsidR="00D66DC2">
        <w:t xml:space="preserve">Hookmark app. https://hookproductivity.com  </w:t>
      </w:r>
    </w:p>
    <w:p w14:paraId="58FBB7E2" w14:textId="0B5FDCD9" w:rsidR="00D66DC2" w:rsidRDefault="00D66DC2" w:rsidP="00D66DC2">
      <w:pPr>
        <w:pStyle w:val="Bibentry"/>
      </w:pPr>
      <w:r>
        <w:t xml:space="preserve">Crina I. </w:t>
      </w:r>
      <w:proofErr w:type="spellStart"/>
      <w:r>
        <w:t>Damşa</w:t>
      </w:r>
      <w:proofErr w:type="spellEnd"/>
      <w:r>
        <w:t>, Paul A. Kirschner, Jerry E. B. Andriessen, Gijsbert Erkens, and Patrick H. M. Sins. 2010. Shared epistemic agency: An empirical study of an emergent construct. Journal of the Learning Sciences 19, 2 (2010), 143–186. https://doi.org/10.1080/10508401003708381</w:t>
      </w:r>
    </w:p>
    <w:p w14:paraId="4BCA454C" w14:textId="32B473DA" w:rsidR="00D66DC2" w:rsidRDefault="00D66DC2" w:rsidP="00D66DC2">
      <w:pPr>
        <w:pStyle w:val="Bibentry"/>
      </w:pPr>
      <w:r>
        <w:t>David Meek. 2026. Defining Epistemic Agency: Perspectives from Epistemology and Educational Psychology. Ph.D. Dissertation. University of Oklahoma. https://shareok.org/server/api/core/bitstreams/603b3a3c-b5ab-4a22-8eff-c5319a0af8cb/content</w:t>
      </w:r>
    </w:p>
    <w:p w14:paraId="29D1598A" w14:textId="4FCD45F7" w:rsidR="00D66DC2" w:rsidRDefault="00D66DC2" w:rsidP="00D66DC2">
      <w:pPr>
        <w:pStyle w:val="Bibentry"/>
      </w:pPr>
      <w:bookmarkStart w:id="15" w:name="OLE_LINK143"/>
      <w:r>
        <w:t>CogSci Apps Corp</w:t>
      </w:r>
      <w:bookmarkEnd w:id="15"/>
      <w:r>
        <w:t>. Universal links. Universal Links. https://hookproductivity.com/help/more/universal-links/</w:t>
      </w:r>
    </w:p>
    <w:p w14:paraId="5F64D04F" w14:textId="1101FCEC" w:rsidR="00D66DC2" w:rsidRDefault="00D66DC2" w:rsidP="00D66DC2">
      <w:pPr>
        <w:pStyle w:val="Bibentry"/>
      </w:pPr>
      <w:r>
        <w:t xml:space="preserve">CogSci Apps Corp. Hookmark help pages. https://hookproductivity.com/help </w:t>
      </w:r>
    </w:p>
    <w:p w14:paraId="3DE43B77" w14:textId="352C6D72" w:rsidR="005B434B" w:rsidRDefault="00D66DC2" w:rsidP="00D66DC2">
      <w:pPr>
        <w:pStyle w:val="Bibentry"/>
      </w:pPr>
      <w:r>
        <w:t>Luc Beaudoin</w:t>
      </w:r>
      <w:r w:rsidR="00072989">
        <w:t xml:space="preserve"> 2026</w:t>
      </w:r>
      <w:r>
        <w:t xml:space="preserve">. Improving Concepts of Epistemic Agency. </w:t>
      </w:r>
      <w:proofErr w:type="spellStart"/>
      <w:r>
        <w:t>CogZest</w:t>
      </w:r>
      <w:proofErr w:type="spellEnd"/>
      <w:r>
        <w:t xml:space="preserve"> Substack, retrieved July 19, </w:t>
      </w:r>
      <w:proofErr w:type="gramStart"/>
      <w:r>
        <w:t>2026</w:t>
      </w:r>
      <w:proofErr w:type="gramEnd"/>
      <w:r w:rsidR="00497699">
        <w:t xml:space="preserve"> from </w:t>
      </w:r>
      <w:hyperlink r:id="rId10" w:history="1">
        <w:r w:rsidR="006E44F4" w:rsidRPr="0001518A">
          <w:rPr>
            <w:rStyle w:val="Hyperlink"/>
          </w:rPr>
          <w:t>https://luccogzest.substack.com/p/improving-concepts-of-epistemic-agency</w:t>
        </w:r>
      </w:hyperlink>
      <w:r>
        <w:t>.</w:t>
      </w:r>
      <w:bookmarkStart w:id="16" w:name="sbmn"/>
      <w:bookmarkEnd w:id="16"/>
    </w:p>
    <w:p w14:paraId="7C39D088" w14:textId="58B983BB" w:rsidR="006E44F4" w:rsidRPr="00D66DC2" w:rsidRDefault="006E44F4" w:rsidP="00D66DC2">
      <w:pPr>
        <w:pStyle w:val="Bibentry"/>
      </w:pPr>
      <w:r w:rsidRPr="006E44F4">
        <w:t>CogSci Apps Corp.</w:t>
      </w:r>
      <w:r>
        <w:t xml:space="preserve"> </w:t>
      </w:r>
      <w:r w:rsidRPr="006E44F4">
        <w:t>What's a Link-Friendly App and Why Does Being Linkable Matter?</w:t>
      </w:r>
      <w:r>
        <w:t xml:space="preserve"> Retrieved July 19, </w:t>
      </w:r>
      <w:proofErr w:type="gramStart"/>
      <w:r>
        <w:t>2026</w:t>
      </w:r>
      <w:proofErr w:type="gramEnd"/>
      <w:r>
        <w:t xml:space="preserve"> from </w:t>
      </w:r>
      <w:hyperlink r:id="rId11" w:history="1">
        <w:r w:rsidRPr="0001518A">
          <w:rPr>
            <w:rStyle w:val="Hyperlink"/>
          </w:rPr>
          <w:t>https://hookproductivity.com/help/integration/data-linkability-and-why-it-matters/</w:t>
        </w:r>
      </w:hyperlink>
      <w:r>
        <w:t xml:space="preserve"> </w:t>
      </w:r>
    </w:p>
    <w:sectPr w:rsidR="006E44F4" w:rsidRPr="00D66DC2" w:rsidSect="000C6221">
      <w:footerReference w:type="default" r:id="rId12"/>
      <w:footerReference w:type="first" r:id="rId13"/>
      <w:pgSz w:w="12240" w:h="15840"/>
      <w:pgMar w:top="1760" w:right="2040" w:bottom="2840" w:left="1440" w:header="706" w:footer="706"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725B2DD" w14:textId="77777777" w:rsidR="00997BF5" w:rsidRDefault="00997BF5" w:rsidP="005B434B">
      <w:pPr>
        <w:spacing w:after="0" w:line="240" w:lineRule="auto"/>
      </w:pPr>
      <w:r>
        <w:separator/>
      </w:r>
    </w:p>
  </w:endnote>
  <w:endnote w:type="continuationSeparator" w:id="0">
    <w:p w14:paraId="6051CC5C" w14:textId="77777777" w:rsidR="00997BF5" w:rsidRDefault="00997BF5" w:rsidP="005B434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Linux Biolinum O">
    <w:altName w:val="Times New Roman"/>
    <w:panose1 w:val="020B0604020202020204"/>
    <w:charset w:val="00"/>
    <w:family w:val="auto"/>
    <w:notTrueType/>
    <w:pitch w:val="variable"/>
    <w:sig w:usb0="00000000" w:usb1="5000E5FB" w:usb2="00000020" w:usb3="00000000" w:csb0="000001BF"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Linux Libertine O">
    <w:altName w:val="Times New Roman"/>
    <w:panose1 w:val="020B0604020202020204"/>
    <w:charset w:val="00"/>
    <w:family w:val="auto"/>
    <w:notTrueType/>
    <w:pitch w:val="variable"/>
    <w:sig w:usb0="00000000" w:usb1="5200E5FB" w:usb2="0200002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InconsolataN">
    <w:altName w:val="Cambria Math"/>
    <w:panose1 w:val="020B0604020202020204"/>
    <w:charset w:val="00"/>
    <w:family w:val="auto"/>
    <w:notTrueType/>
    <w:pitch w:val="fixed"/>
    <w:sig w:usb0="8000002F" w:usb1="0000016B" w:usb2="00000000" w:usb3="00000000" w:csb0="00000013" w:csb1="00000000"/>
  </w:font>
  <w:font w:name="Linux Libertine">
    <w:altName w:val="Times New Roman"/>
    <w:panose1 w:val="020B0604020202020204"/>
    <w:charset w:val="00"/>
    <w:family w:val="auto"/>
    <w:pitch w:val="variable"/>
    <w:sig w:usb0="E0000AFF" w:usb1="5200E5FB" w:usb2="02000020" w:usb3="00000000" w:csb0="000001BF" w:csb1="00000000"/>
  </w:font>
  <w:font w:name="Linux Biolinum">
    <w:altName w:val="Times New Roman"/>
    <w:panose1 w:val="020B0604020202020204"/>
    <w:charset w:val="00"/>
    <w:family w:val="auto"/>
    <w:pitch w:val="variable"/>
    <w:sig w:usb0="E0000AFF" w:usb1="5000E5FB" w:usb2="0000002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DF5858E" w14:textId="77777777" w:rsidR="003A1230" w:rsidRDefault="00737F1F" w:rsidP="00894B43">
    <w:pPr>
      <w:pStyle w:val="Footer"/>
      <w:jc w:val="center"/>
    </w:pPr>
    <w:r>
      <w:fldChar w:fldCharType="begin"/>
    </w:r>
    <w:r>
      <w:instrText xml:space="preserve"> PAGE   \* MERGEFORMAT </w:instrText>
    </w:r>
    <w:r>
      <w:fldChar w:fldCharType="separate"/>
    </w:r>
    <w:r w:rsidR="00854D22">
      <w:rPr>
        <w:noProof/>
      </w:rPr>
      <w:t>10</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C3CFE3D" w14:textId="77777777" w:rsidR="003A1230" w:rsidRDefault="003A1230">
    <w:pPr>
      <w:pStyle w:val="Footer"/>
    </w:pPr>
  </w:p>
  <w:p w14:paraId="2AF24F8A" w14:textId="77777777" w:rsidR="003A1230" w:rsidRDefault="003A1230">
    <w:pPr>
      <w:pStyle w:val="Footer"/>
    </w:pPr>
  </w:p>
  <w:p w14:paraId="2CE231C2" w14:textId="77777777" w:rsidR="003A1230" w:rsidRDefault="003A1230">
    <w:pPr>
      <w:pStyle w:val="Footer"/>
    </w:pPr>
  </w:p>
  <w:p w14:paraId="7C9BA408" w14:textId="77777777" w:rsidR="003A1230" w:rsidRDefault="003A1230">
    <w:pPr>
      <w:pStyle w:val="Footer"/>
    </w:pPr>
  </w:p>
  <w:p w14:paraId="79F0CED3" w14:textId="77777777" w:rsidR="003A1230" w:rsidRDefault="003A1230">
    <w:pPr>
      <w:pStyle w:val="Footer"/>
    </w:pPr>
  </w:p>
  <w:p w14:paraId="263B6186" w14:textId="77777777" w:rsidR="003A1230" w:rsidRDefault="003A1230">
    <w:pPr>
      <w:pStyle w:val="Footer"/>
    </w:pPr>
  </w:p>
  <w:p w14:paraId="4F1928AC" w14:textId="77777777" w:rsidR="003A1230" w:rsidRDefault="003A1230">
    <w:pPr>
      <w:pStyle w:val="Footer"/>
    </w:pPr>
  </w:p>
  <w:p w14:paraId="133A23E8" w14:textId="77777777" w:rsidR="003A1230" w:rsidRDefault="003A1230">
    <w:pPr>
      <w:pStyle w:val="Footer"/>
    </w:pPr>
  </w:p>
  <w:p w14:paraId="38803175" w14:textId="77777777" w:rsidR="003A1230" w:rsidRDefault="003A1230">
    <w:pPr>
      <w:pStyle w:val="Footer"/>
    </w:pPr>
  </w:p>
  <w:p w14:paraId="28F6157F" w14:textId="77777777" w:rsidR="003A1230" w:rsidRDefault="003A1230">
    <w:pPr>
      <w:pStyle w:val="Footer"/>
    </w:pPr>
  </w:p>
  <w:p w14:paraId="03A36143" w14:textId="77777777" w:rsidR="003A1230" w:rsidRDefault="003A1230">
    <w:pPr>
      <w:pStyle w:val="Footer"/>
    </w:pPr>
  </w:p>
  <w:p w14:paraId="2DD6FCB1" w14:textId="77777777" w:rsidR="003A1230" w:rsidRDefault="003A1230">
    <w:pPr>
      <w:pStyle w:val="Footer"/>
    </w:pPr>
  </w:p>
  <w:p w14:paraId="2BA8D25E" w14:textId="77777777" w:rsidR="003A1230" w:rsidRDefault="003A1230">
    <w:pPr>
      <w:pStyle w:val="Footer"/>
    </w:pPr>
  </w:p>
  <w:p w14:paraId="069B1F3E" w14:textId="77777777" w:rsidR="003A1230" w:rsidRDefault="003A1230">
    <w:pPr>
      <w:pStyle w:val="Footer"/>
    </w:pPr>
  </w:p>
  <w:p w14:paraId="080A3EC1" w14:textId="77777777" w:rsidR="003A1230" w:rsidRDefault="003A1230">
    <w:pPr>
      <w:pStyle w:val="Footer"/>
    </w:pPr>
  </w:p>
  <w:p w14:paraId="0C16328E" w14:textId="77777777" w:rsidR="003A1230" w:rsidRDefault="003A1230">
    <w:pPr>
      <w:pStyle w:val="Footer"/>
    </w:pPr>
  </w:p>
  <w:p w14:paraId="4A9E2D27" w14:textId="77777777" w:rsidR="003A1230" w:rsidRDefault="003A123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4C94F86" w14:textId="77777777" w:rsidR="00997BF5" w:rsidRDefault="00997BF5" w:rsidP="005B434B">
      <w:pPr>
        <w:spacing w:after="0" w:line="240" w:lineRule="auto"/>
      </w:pPr>
      <w:r>
        <w:separator/>
      </w:r>
    </w:p>
  </w:footnote>
  <w:footnote w:type="continuationSeparator" w:id="0">
    <w:p w14:paraId="5A744C82" w14:textId="77777777" w:rsidR="00997BF5" w:rsidRDefault="00997BF5" w:rsidP="005B434B">
      <w:pPr>
        <w:spacing w:after="0" w:line="240" w:lineRule="auto"/>
      </w:pPr>
      <w:r>
        <w:continuationSeparator/>
      </w:r>
    </w:p>
  </w:footnote>
  <w:footnote w:id="1">
    <w:p w14:paraId="089A4AD1" w14:textId="1633DCBD" w:rsidR="005B434B" w:rsidRDefault="005B434B" w:rsidP="005B434B">
      <w:pPr>
        <w:pStyle w:val="AuthNotes"/>
        <w:spacing w:line="240" w:lineRule="auto"/>
      </w:pPr>
      <w:r w:rsidRPr="00695442">
        <w:t>*</w:t>
      </w:r>
      <w:r w:rsidR="0020646A">
        <w:t xml:space="preserve"> </w:t>
      </w:r>
      <w:r w:rsidR="005F728A" w:rsidRPr="005F728A">
        <w:t xml:space="preserve">COI disclosure: </w:t>
      </w:r>
      <w:r w:rsidR="005F728A">
        <w:t>The first author is</w:t>
      </w:r>
      <w:r w:rsidR="005F728A" w:rsidRPr="005F728A">
        <w:t xml:space="preserve"> a director of CogSci Apps Corp. and owner of </w:t>
      </w:r>
      <w:proofErr w:type="spellStart"/>
      <w:r w:rsidR="005F728A" w:rsidRPr="005F728A">
        <w:t>CogZest</w:t>
      </w:r>
      <w:proofErr w:type="spellEnd"/>
      <w:r w:rsidR="005F728A" w:rsidRPr="005F728A">
        <w:t xml:space="preserve">. These Canadian businesses develop and market products based on </w:t>
      </w:r>
      <w:r w:rsidR="005F728A">
        <w:t xml:space="preserve">his </w:t>
      </w:r>
      <w:r w:rsidR="005F728A" w:rsidRPr="005F728A">
        <w:t xml:space="preserve">R&amp;D, including the Hookmark and </w:t>
      </w:r>
      <w:proofErr w:type="spellStart"/>
      <w:r w:rsidR="005F728A" w:rsidRPr="005F728A">
        <w:t>mySleepButton</w:t>
      </w:r>
      <w:proofErr w:type="spellEnd"/>
      <w:r w:rsidR="005F728A" w:rsidRPr="005F728A">
        <w:t xml:space="preserve"> apps, two Cognitive Productivity books, and </w:t>
      </w:r>
      <w:r w:rsidR="005F728A">
        <w:t xml:space="preserve">his third </w:t>
      </w:r>
      <w:r w:rsidR="005F728A" w:rsidRPr="005F728A">
        <w:t>book Discontinuities: Love, Art, Mind.</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1082DED"/>
    <w:multiLevelType w:val="multilevel"/>
    <w:tmpl w:val="F40E53E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84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017F0B4D"/>
    <w:multiLevelType w:val="multilevel"/>
    <w:tmpl w:val="4D6825E8"/>
    <w:numStyleLink w:val="111111"/>
  </w:abstractNum>
  <w:abstractNum w:abstractNumId="2" w15:restartNumberingAfterBreak="0">
    <w:nsid w:val="2A263F6D"/>
    <w:multiLevelType w:val="singleLevel"/>
    <w:tmpl w:val="40090019"/>
    <w:lvl w:ilvl="0">
      <w:start w:val="1"/>
      <w:numFmt w:val="decimal"/>
      <w:lvlText w:val="%1."/>
      <w:lvlJc w:val="left"/>
      <w:pPr>
        <w:ind w:left="480" w:hanging="240"/>
      </w:pPr>
      <w:rPr>
        <w:rFonts w:hint="default"/>
      </w:rPr>
    </w:lvl>
  </w:abstractNum>
  <w:abstractNum w:abstractNumId="3" w15:restartNumberingAfterBreak="0">
    <w:nsid w:val="36662F61"/>
    <w:multiLevelType w:val="singleLevel"/>
    <w:tmpl w:val="40090019"/>
    <w:lvl w:ilvl="0">
      <w:start w:val="1"/>
      <w:numFmt w:val="decimal"/>
      <w:pStyle w:val="ListParagraph"/>
      <w:lvlText w:val="%1."/>
      <w:lvlJc w:val="left"/>
      <w:pPr>
        <w:ind w:left="480" w:hanging="240"/>
      </w:pPr>
      <w:rPr>
        <w:rFonts w:hint="default"/>
      </w:rPr>
    </w:lvl>
  </w:abstractNum>
  <w:abstractNum w:abstractNumId="4" w15:restartNumberingAfterBreak="0">
    <w:nsid w:val="36756063"/>
    <w:multiLevelType w:val="multilevel"/>
    <w:tmpl w:val="F75AE9DE"/>
    <w:lvl w:ilvl="0">
      <w:start w:val="1"/>
      <w:numFmt w:val="decimal"/>
      <w:pStyle w:val="Head1"/>
      <w:lvlText w:val="%1"/>
      <w:lvlJc w:val="left"/>
      <w:pPr>
        <w:ind w:left="360" w:hanging="360"/>
      </w:pPr>
      <w:rPr>
        <w:rFonts w:hint="default"/>
      </w:rPr>
    </w:lvl>
    <w:lvl w:ilvl="1">
      <w:start w:val="1"/>
      <w:numFmt w:val="decimal"/>
      <w:pStyle w:val="Head2"/>
      <w:lvlText w:val="%1.%2"/>
      <w:lvlJc w:val="left"/>
      <w:pPr>
        <w:ind w:left="360" w:hanging="360"/>
      </w:pPr>
      <w:rPr>
        <w:rFonts w:hint="default"/>
      </w:rPr>
    </w:lvl>
    <w:lvl w:ilvl="2">
      <w:start w:val="1"/>
      <w:numFmt w:val="decimal"/>
      <w:pStyle w:val="Head3"/>
      <w:lvlText w:val="%1.%2.%3"/>
      <w:lvlJc w:val="left"/>
      <w:pPr>
        <w:ind w:left="360" w:hanging="360"/>
      </w:pPr>
      <w:rPr>
        <w:rFonts w:hint="default"/>
      </w:rPr>
    </w:lvl>
    <w:lvl w:ilvl="3">
      <w:start w:val="1"/>
      <w:numFmt w:val="decimal"/>
      <w:pStyle w:val="Head4"/>
      <w:lvlText w:val="%1.%2.%3.%4"/>
      <w:lvlJc w:val="left"/>
      <w:pPr>
        <w:ind w:left="36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38B71091"/>
    <w:multiLevelType w:val="hybridMultilevel"/>
    <w:tmpl w:val="9768F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1D53E22"/>
    <w:multiLevelType w:val="singleLevel"/>
    <w:tmpl w:val="40090019"/>
    <w:lvl w:ilvl="0">
      <w:start w:val="1"/>
      <w:numFmt w:val="decimal"/>
      <w:lvlText w:val="%1."/>
      <w:lvlJc w:val="left"/>
      <w:pPr>
        <w:ind w:left="480" w:hanging="240"/>
      </w:pPr>
      <w:rPr>
        <w:rFonts w:hint="default"/>
      </w:rPr>
    </w:lvl>
  </w:abstractNum>
  <w:abstractNum w:abstractNumId="7" w15:restartNumberingAfterBreak="0">
    <w:nsid w:val="473D2749"/>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48274591"/>
    <w:multiLevelType w:val="singleLevel"/>
    <w:tmpl w:val="40090019"/>
    <w:lvl w:ilvl="0">
      <w:start w:val="1"/>
      <w:numFmt w:val="decimal"/>
      <w:lvlText w:val="%1."/>
      <w:lvlJc w:val="left"/>
      <w:pPr>
        <w:ind w:left="480" w:hanging="240"/>
      </w:pPr>
      <w:rPr>
        <w:rFonts w:hint="default"/>
      </w:rPr>
    </w:lvl>
  </w:abstractNum>
  <w:abstractNum w:abstractNumId="9" w15:restartNumberingAfterBreak="0">
    <w:nsid w:val="4F4E3603"/>
    <w:multiLevelType w:val="hybridMultilevel"/>
    <w:tmpl w:val="B5609AD2"/>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0" w15:restartNumberingAfterBreak="0">
    <w:nsid w:val="63130CB7"/>
    <w:multiLevelType w:val="hybridMultilevel"/>
    <w:tmpl w:val="9E6067B6"/>
    <w:name w:val="Bib_entry_numbering"/>
    <w:lvl w:ilvl="0" w:tplc="C72A1602">
      <w:start w:val="1"/>
      <w:numFmt w:val="decimal"/>
      <w:lvlRestart w:val="0"/>
      <w:pStyle w:val="Bibentry"/>
      <w:lvlText w:val="[%1]"/>
      <w:lvlJc w:val="left"/>
      <w:pPr>
        <w:ind w:left="36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1" w15:restartNumberingAfterBreak="0">
    <w:nsid w:val="669665FE"/>
    <w:multiLevelType w:val="hybridMultilevel"/>
    <w:tmpl w:val="1A3A63A4"/>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2" w15:restartNumberingAfterBreak="0">
    <w:nsid w:val="6B514737"/>
    <w:multiLevelType w:val="singleLevel"/>
    <w:tmpl w:val="40090019"/>
    <w:lvl w:ilvl="0">
      <w:start w:val="1"/>
      <w:numFmt w:val="decimal"/>
      <w:lvlText w:val="%1."/>
      <w:lvlJc w:val="left"/>
      <w:pPr>
        <w:ind w:left="480" w:hanging="240"/>
      </w:pPr>
      <w:rPr>
        <w:rFonts w:hint="default"/>
      </w:rPr>
    </w:lvl>
  </w:abstractNum>
  <w:abstractNum w:abstractNumId="13" w15:restartNumberingAfterBreak="0">
    <w:nsid w:val="6BA328B1"/>
    <w:multiLevelType w:val="hybridMultilevel"/>
    <w:tmpl w:val="A0DA76FE"/>
    <w:lvl w:ilvl="0" w:tplc="04090001">
      <w:start w:val="1"/>
      <w:numFmt w:val="bullet"/>
      <w:lvlText w:val=""/>
      <w:lvlJc w:val="left"/>
      <w:pPr>
        <w:ind w:left="960" w:hanging="360"/>
      </w:pPr>
      <w:rPr>
        <w:rFonts w:ascii="Symbol" w:hAnsi="Symbol"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4" w15:restartNumberingAfterBreak="0">
    <w:nsid w:val="6C7A4A29"/>
    <w:multiLevelType w:val="multilevel"/>
    <w:tmpl w:val="4D6825E8"/>
    <w:styleLink w:val="111111"/>
    <w:lvl w:ilvl="0">
      <w:start w:val="1"/>
      <w:numFmt w:val="decimal"/>
      <w:lvlText w:val="%1."/>
      <w:lvlJc w:val="left"/>
      <w:pPr>
        <w:ind w:left="360" w:hanging="360"/>
      </w:pPr>
      <w:rPr>
        <w:rFonts w:ascii="Linux Biolinum O" w:hAnsi="Linux Biolinum O" w:cs="Linux Biolinum 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6CC87F05"/>
    <w:multiLevelType w:val="hybridMultilevel"/>
    <w:tmpl w:val="4A10C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20367598">
    <w:abstractNumId w:val="0"/>
  </w:num>
  <w:num w:numId="2" w16cid:durableId="1470511551">
    <w:abstractNumId w:val="14"/>
  </w:num>
  <w:num w:numId="3" w16cid:durableId="892470019">
    <w:abstractNumId w:val="10"/>
  </w:num>
  <w:num w:numId="4" w16cid:durableId="1375077058">
    <w:abstractNumId w:val="1"/>
  </w:num>
  <w:num w:numId="5" w16cid:durableId="145099171">
    <w:abstractNumId w:val="3"/>
  </w:num>
  <w:num w:numId="6" w16cid:durableId="1467968548">
    <w:abstractNumId w:val="6"/>
  </w:num>
  <w:num w:numId="7" w16cid:durableId="1404987152">
    <w:abstractNumId w:val="12"/>
  </w:num>
  <w:num w:numId="8" w16cid:durableId="1224486722">
    <w:abstractNumId w:val="2"/>
  </w:num>
  <w:num w:numId="9" w16cid:durableId="1437485438">
    <w:abstractNumId w:val="8"/>
  </w:num>
  <w:num w:numId="10" w16cid:durableId="1252356577">
    <w:abstractNumId w:val="15"/>
  </w:num>
  <w:num w:numId="11" w16cid:durableId="1383166129">
    <w:abstractNumId w:val="5"/>
  </w:num>
  <w:num w:numId="12" w16cid:durableId="434327001">
    <w:abstractNumId w:val="13"/>
  </w:num>
  <w:num w:numId="13" w16cid:durableId="1925649121">
    <w:abstractNumId w:val="9"/>
  </w:num>
  <w:num w:numId="14" w16cid:durableId="1852332931">
    <w:abstractNumId w:val="4"/>
  </w:num>
  <w:num w:numId="15" w16cid:durableId="1727221696">
    <w:abstractNumId w:val="11"/>
  </w:num>
  <w:num w:numId="16" w16cid:durableId="239561393">
    <w:abstractNumId w:val="7"/>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434B"/>
    <w:rsid w:val="00054E0A"/>
    <w:rsid w:val="0005671D"/>
    <w:rsid w:val="00072989"/>
    <w:rsid w:val="00080C59"/>
    <w:rsid w:val="0008391F"/>
    <w:rsid w:val="0009314B"/>
    <w:rsid w:val="000C340B"/>
    <w:rsid w:val="000D6541"/>
    <w:rsid w:val="000F4E3C"/>
    <w:rsid w:val="00104F62"/>
    <w:rsid w:val="001105C1"/>
    <w:rsid w:val="001142BA"/>
    <w:rsid w:val="00115CB0"/>
    <w:rsid w:val="001239A4"/>
    <w:rsid w:val="00132188"/>
    <w:rsid w:val="0014528F"/>
    <w:rsid w:val="001754DD"/>
    <w:rsid w:val="001879E9"/>
    <w:rsid w:val="001B633D"/>
    <w:rsid w:val="001C6FC6"/>
    <w:rsid w:val="001C7CA1"/>
    <w:rsid w:val="001D3CDD"/>
    <w:rsid w:val="001D5703"/>
    <w:rsid w:val="001F24E6"/>
    <w:rsid w:val="0020646A"/>
    <w:rsid w:val="00210A79"/>
    <w:rsid w:val="00216195"/>
    <w:rsid w:val="0022111E"/>
    <w:rsid w:val="0023048B"/>
    <w:rsid w:val="00231DBC"/>
    <w:rsid w:val="00251AB7"/>
    <w:rsid w:val="002601C2"/>
    <w:rsid w:val="00277C30"/>
    <w:rsid w:val="0029158F"/>
    <w:rsid w:val="00292C1F"/>
    <w:rsid w:val="00296257"/>
    <w:rsid w:val="002B1F64"/>
    <w:rsid w:val="002C2A98"/>
    <w:rsid w:val="002C37CC"/>
    <w:rsid w:val="002C45CE"/>
    <w:rsid w:val="002D233A"/>
    <w:rsid w:val="002E204E"/>
    <w:rsid w:val="002F58C9"/>
    <w:rsid w:val="002F5B40"/>
    <w:rsid w:val="00335C00"/>
    <w:rsid w:val="00340671"/>
    <w:rsid w:val="0034584C"/>
    <w:rsid w:val="0036250F"/>
    <w:rsid w:val="003756D0"/>
    <w:rsid w:val="00383E2D"/>
    <w:rsid w:val="003A1230"/>
    <w:rsid w:val="003A253B"/>
    <w:rsid w:val="003D58A5"/>
    <w:rsid w:val="00425BD8"/>
    <w:rsid w:val="00452D8B"/>
    <w:rsid w:val="00456B19"/>
    <w:rsid w:val="00457C1D"/>
    <w:rsid w:val="004718A7"/>
    <w:rsid w:val="004923DD"/>
    <w:rsid w:val="00497699"/>
    <w:rsid w:val="004B7A97"/>
    <w:rsid w:val="004C0D45"/>
    <w:rsid w:val="004D6BBD"/>
    <w:rsid w:val="00526E0C"/>
    <w:rsid w:val="005419FB"/>
    <w:rsid w:val="00547F6A"/>
    <w:rsid w:val="005A19C2"/>
    <w:rsid w:val="005B434B"/>
    <w:rsid w:val="005B61AA"/>
    <w:rsid w:val="005C3913"/>
    <w:rsid w:val="005D78A9"/>
    <w:rsid w:val="005F03F5"/>
    <w:rsid w:val="005F728A"/>
    <w:rsid w:val="0060116D"/>
    <w:rsid w:val="00627CA5"/>
    <w:rsid w:val="006A18A0"/>
    <w:rsid w:val="006B5C30"/>
    <w:rsid w:val="006C2863"/>
    <w:rsid w:val="006C53BD"/>
    <w:rsid w:val="006C7775"/>
    <w:rsid w:val="006E44F4"/>
    <w:rsid w:val="006E639D"/>
    <w:rsid w:val="00701C93"/>
    <w:rsid w:val="00705F99"/>
    <w:rsid w:val="00720F9D"/>
    <w:rsid w:val="00737F1F"/>
    <w:rsid w:val="0074086C"/>
    <w:rsid w:val="007655E7"/>
    <w:rsid w:val="007B36F5"/>
    <w:rsid w:val="007E20EF"/>
    <w:rsid w:val="007E4448"/>
    <w:rsid w:val="008044E1"/>
    <w:rsid w:val="0081437E"/>
    <w:rsid w:val="00854D22"/>
    <w:rsid w:val="00884E06"/>
    <w:rsid w:val="00885126"/>
    <w:rsid w:val="008C7441"/>
    <w:rsid w:val="008D14C0"/>
    <w:rsid w:val="008F46DC"/>
    <w:rsid w:val="00904F5F"/>
    <w:rsid w:val="00920182"/>
    <w:rsid w:val="00922920"/>
    <w:rsid w:val="009336D1"/>
    <w:rsid w:val="00934C89"/>
    <w:rsid w:val="009361DF"/>
    <w:rsid w:val="00941F8B"/>
    <w:rsid w:val="0094418E"/>
    <w:rsid w:val="00953D12"/>
    <w:rsid w:val="009641B8"/>
    <w:rsid w:val="00971CE5"/>
    <w:rsid w:val="009852EF"/>
    <w:rsid w:val="00997BF5"/>
    <w:rsid w:val="009B355F"/>
    <w:rsid w:val="009B76D7"/>
    <w:rsid w:val="009F1EC1"/>
    <w:rsid w:val="009F684F"/>
    <w:rsid w:val="00A16C11"/>
    <w:rsid w:val="00A20900"/>
    <w:rsid w:val="00A221C8"/>
    <w:rsid w:val="00A22389"/>
    <w:rsid w:val="00A27A9F"/>
    <w:rsid w:val="00A3685D"/>
    <w:rsid w:val="00A460F5"/>
    <w:rsid w:val="00A54008"/>
    <w:rsid w:val="00A55475"/>
    <w:rsid w:val="00A6011A"/>
    <w:rsid w:val="00A60B6C"/>
    <w:rsid w:val="00A673FC"/>
    <w:rsid w:val="00AD2094"/>
    <w:rsid w:val="00AD6C5E"/>
    <w:rsid w:val="00AF5390"/>
    <w:rsid w:val="00B40EB1"/>
    <w:rsid w:val="00B41155"/>
    <w:rsid w:val="00B6095F"/>
    <w:rsid w:val="00B657BD"/>
    <w:rsid w:val="00B81755"/>
    <w:rsid w:val="00B915F8"/>
    <w:rsid w:val="00BD04E6"/>
    <w:rsid w:val="00BD5CDD"/>
    <w:rsid w:val="00C2047C"/>
    <w:rsid w:val="00C24C10"/>
    <w:rsid w:val="00C33187"/>
    <w:rsid w:val="00C54B53"/>
    <w:rsid w:val="00CF131E"/>
    <w:rsid w:val="00D03408"/>
    <w:rsid w:val="00D07298"/>
    <w:rsid w:val="00D20FCE"/>
    <w:rsid w:val="00D55864"/>
    <w:rsid w:val="00D6219F"/>
    <w:rsid w:val="00D64D6B"/>
    <w:rsid w:val="00D66DC2"/>
    <w:rsid w:val="00D829FB"/>
    <w:rsid w:val="00D96691"/>
    <w:rsid w:val="00DA1CE2"/>
    <w:rsid w:val="00DA2F59"/>
    <w:rsid w:val="00DB1814"/>
    <w:rsid w:val="00E037CD"/>
    <w:rsid w:val="00E22563"/>
    <w:rsid w:val="00E37385"/>
    <w:rsid w:val="00E55E8D"/>
    <w:rsid w:val="00E8234D"/>
    <w:rsid w:val="00E92194"/>
    <w:rsid w:val="00EB2992"/>
    <w:rsid w:val="00ED229F"/>
    <w:rsid w:val="00EE2635"/>
    <w:rsid w:val="00EE4901"/>
    <w:rsid w:val="00EF0D7C"/>
    <w:rsid w:val="00EF37BB"/>
    <w:rsid w:val="00EF5BB9"/>
    <w:rsid w:val="00F07897"/>
    <w:rsid w:val="00F1143E"/>
    <w:rsid w:val="00F46728"/>
    <w:rsid w:val="00F570F1"/>
    <w:rsid w:val="00F6354E"/>
    <w:rsid w:val="00FD21F1"/>
    <w:rsid w:val="00FD59BE"/>
    <w:rsid w:val="00FD7E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72B77D"/>
  <w15:chartTrackingRefBased/>
  <w15:docId w15:val="{0EF8B8BE-2895-48C3-BC19-C1E602755B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B434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5B434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igureCaptionChar">
    <w:name w:val="FigureCaption Char"/>
    <w:link w:val="FigureCaption"/>
    <w:locked/>
    <w:rsid w:val="005B434B"/>
    <w:rPr>
      <w:rFonts w:ascii="Linux Biolinum O" w:eastAsia="Cambria" w:hAnsi="Linux Biolinum O" w:cs="Linux Biolinum O"/>
      <w:sz w:val="16"/>
      <w:lang w:eastAsia="ja-JP"/>
    </w:rPr>
  </w:style>
  <w:style w:type="paragraph" w:customStyle="1" w:styleId="FigureCaption">
    <w:name w:val="FigureCaption"/>
    <w:link w:val="FigureCaptionChar"/>
    <w:autoRedefine/>
    <w:rsid w:val="005B434B"/>
    <w:pPr>
      <w:keepNext/>
      <w:spacing w:before="60" w:after="180" w:line="200" w:lineRule="atLeast"/>
      <w:jc w:val="center"/>
    </w:pPr>
    <w:rPr>
      <w:rFonts w:ascii="Linux Biolinum O" w:eastAsia="Cambria" w:hAnsi="Linux Biolinum O" w:cs="Linux Biolinum O"/>
      <w:sz w:val="16"/>
      <w:lang w:eastAsia="ja-JP"/>
    </w:rPr>
  </w:style>
  <w:style w:type="paragraph" w:customStyle="1" w:styleId="Image">
    <w:name w:val="Image"/>
    <w:basedOn w:val="Normal"/>
    <w:rsid w:val="00D6219F"/>
    <w:pPr>
      <w:keepNext/>
      <w:spacing w:after="200" w:line="225" w:lineRule="atLeast"/>
      <w:jc w:val="center"/>
    </w:pPr>
    <w:rPr>
      <w:rFonts w:ascii="Linux Libertine O" w:eastAsia="Cambria" w:hAnsi="Linux Libertine O" w:cs="Linux Libertine O"/>
      <w:sz w:val="18"/>
      <w:szCs w:val="24"/>
    </w:rPr>
  </w:style>
  <w:style w:type="paragraph" w:styleId="ListParagraph">
    <w:name w:val="List Paragraph"/>
    <w:qFormat/>
    <w:rsid w:val="005B434B"/>
    <w:pPr>
      <w:numPr>
        <w:numId w:val="5"/>
      </w:numPr>
      <w:shd w:val="clear" w:color="auto" w:fill="FFFFFF"/>
      <w:tabs>
        <w:tab w:val="left" w:pos="480"/>
      </w:tabs>
      <w:spacing w:before="120" w:after="120" w:line="270" w:lineRule="atLeast"/>
      <w:contextualSpacing/>
      <w:jc w:val="both"/>
    </w:pPr>
    <w:rPr>
      <w:rFonts w:ascii="Linux Libertine O" w:eastAsia="Cambria" w:hAnsi="Linux Libertine O" w:cs="Linux Libertine O"/>
      <w:sz w:val="18"/>
      <w:szCs w:val="20"/>
    </w:rPr>
  </w:style>
  <w:style w:type="paragraph" w:customStyle="1" w:styleId="Head1">
    <w:name w:val="Head1"/>
    <w:basedOn w:val="Heading1"/>
    <w:next w:val="Para"/>
    <w:qFormat/>
    <w:rsid w:val="005B434B"/>
    <w:pPr>
      <w:numPr>
        <w:numId w:val="14"/>
      </w:numPr>
      <w:tabs>
        <w:tab w:val="left" w:pos="240"/>
        <w:tab w:val="num" w:pos="360"/>
      </w:tabs>
      <w:spacing w:before="320" w:after="60" w:line="225" w:lineRule="atLeast"/>
    </w:pPr>
    <w:rPr>
      <w:rFonts w:ascii="Linux Biolinum O" w:eastAsia="Times New Roman" w:hAnsi="Linux Biolinum O" w:cs="Linux Biolinum O"/>
      <w:b/>
      <w:bCs/>
      <w:caps/>
      <w:color w:val="auto"/>
      <w:sz w:val="18"/>
      <w:szCs w:val="20"/>
    </w:rPr>
  </w:style>
  <w:style w:type="paragraph" w:customStyle="1" w:styleId="Head2">
    <w:name w:val="Head2"/>
    <w:basedOn w:val="Heading2"/>
    <w:next w:val="Para"/>
    <w:qFormat/>
    <w:rsid w:val="004B7A97"/>
    <w:pPr>
      <w:numPr>
        <w:ilvl w:val="1"/>
        <w:numId w:val="14"/>
      </w:numPr>
      <w:tabs>
        <w:tab w:val="num" w:pos="360"/>
      </w:tabs>
      <w:spacing w:before="240" w:after="60" w:line="225" w:lineRule="atLeast"/>
    </w:pPr>
    <w:rPr>
      <w:rFonts w:ascii="Linux Biolinum O" w:eastAsia="Times New Roman" w:hAnsi="Linux Biolinum O" w:cs="Linux Biolinum O"/>
      <w:b/>
      <w:bCs/>
      <w:color w:val="auto"/>
      <w:sz w:val="18"/>
      <w:szCs w:val="20"/>
    </w:rPr>
  </w:style>
  <w:style w:type="paragraph" w:customStyle="1" w:styleId="Head3old">
    <w:name w:val="Head3old"/>
    <w:next w:val="Para"/>
    <w:link w:val="Head3oldChar"/>
    <w:qFormat/>
    <w:rsid w:val="005B434B"/>
    <w:pPr>
      <w:keepNext/>
      <w:spacing w:before="240" w:after="60" w:line="225" w:lineRule="atLeast"/>
    </w:pPr>
    <w:rPr>
      <w:rFonts w:ascii="Linux Biolinum O" w:eastAsia="MS Mincho" w:hAnsi="Linux Biolinum O" w:cs="Linux Biolinum O"/>
      <w:b/>
      <w:i/>
      <w:sz w:val="18"/>
      <w:szCs w:val="20"/>
    </w:rPr>
  </w:style>
  <w:style w:type="paragraph" w:customStyle="1" w:styleId="Para">
    <w:name w:val="Para"/>
    <w:basedOn w:val="Normal"/>
    <w:next w:val="ParaContinue"/>
    <w:rsid w:val="005B434B"/>
    <w:pPr>
      <w:spacing w:after="0" w:line="270" w:lineRule="atLeast"/>
      <w:ind w:firstLine="240"/>
      <w:jc w:val="both"/>
    </w:pPr>
    <w:rPr>
      <w:rFonts w:ascii="Linux Libertine O" w:eastAsia="Cambria" w:hAnsi="Linux Libertine O" w:cs="Linux Libertine O"/>
      <w:sz w:val="18"/>
      <w:szCs w:val="24"/>
      <w:lang w:eastAsia="ja-JP"/>
    </w:rPr>
  </w:style>
  <w:style w:type="character" w:styleId="Hyperlink">
    <w:name w:val="Hyperlink"/>
    <w:rsid w:val="005B434B"/>
    <w:rPr>
      <w:rFonts w:ascii="Linux Libertine O" w:hAnsi="Linux Libertine O" w:cs="Linux Libertine O" w:hint="default"/>
      <w:color w:val="0000FF"/>
      <w:u w:val="single"/>
    </w:rPr>
  </w:style>
  <w:style w:type="paragraph" w:styleId="Subtitle">
    <w:name w:val="Subtitle"/>
    <w:basedOn w:val="Normal"/>
    <w:next w:val="Normal"/>
    <w:link w:val="SubtitleChar"/>
    <w:qFormat/>
    <w:rsid w:val="005B434B"/>
    <w:pPr>
      <w:spacing w:after="360" w:line="333" w:lineRule="atLeast"/>
    </w:pPr>
    <w:rPr>
      <w:rFonts w:ascii="Linux Biolinum O" w:eastAsia="MS Gothic" w:hAnsi="Linux Biolinum O" w:cs="Linux Biolinum O"/>
      <w:iCs/>
      <w:sz w:val="18"/>
      <w:szCs w:val="24"/>
    </w:rPr>
  </w:style>
  <w:style w:type="character" w:customStyle="1" w:styleId="SubtitleChar">
    <w:name w:val="Subtitle Char"/>
    <w:basedOn w:val="DefaultParagraphFont"/>
    <w:link w:val="Subtitle"/>
    <w:rsid w:val="005B434B"/>
    <w:rPr>
      <w:rFonts w:ascii="Linux Biolinum O" w:eastAsia="MS Gothic" w:hAnsi="Linux Biolinum O" w:cs="Linux Biolinum O"/>
      <w:iCs/>
      <w:sz w:val="18"/>
      <w:szCs w:val="24"/>
    </w:rPr>
  </w:style>
  <w:style w:type="paragraph" w:customStyle="1" w:styleId="Abstract">
    <w:name w:val="Abstract"/>
    <w:rsid w:val="005B434B"/>
    <w:pPr>
      <w:spacing w:before="200" w:after="0" w:line="240" w:lineRule="atLeast"/>
      <w:jc w:val="both"/>
    </w:pPr>
    <w:rPr>
      <w:rFonts w:ascii="Linux Libertine O" w:eastAsia="Cambria" w:hAnsi="Linux Libertine O" w:cs="Linux Libertine O"/>
      <w:sz w:val="16"/>
    </w:rPr>
  </w:style>
  <w:style w:type="paragraph" w:customStyle="1" w:styleId="Affiliation">
    <w:name w:val="Affiliation"/>
    <w:rsid w:val="005B434B"/>
    <w:pPr>
      <w:spacing w:before="60" w:after="0" w:line="297" w:lineRule="atLeast"/>
    </w:pPr>
    <w:rPr>
      <w:rFonts w:ascii="Linux Libertine O" w:eastAsia="Times New Roman" w:hAnsi="Linux Libertine O" w:cs="Linux Libertine O"/>
      <w:sz w:val="18"/>
      <w:szCs w:val="20"/>
    </w:rPr>
  </w:style>
  <w:style w:type="paragraph" w:customStyle="1" w:styleId="Titledocument">
    <w:name w:val="Title_document"/>
    <w:link w:val="TitledocumentChar"/>
    <w:rsid w:val="005B434B"/>
    <w:pPr>
      <w:spacing w:after="0" w:line="360" w:lineRule="atLeast"/>
    </w:pPr>
    <w:rPr>
      <w:rFonts w:ascii="Linux Biolinum O" w:eastAsia="Times New Roman" w:hAnsi="Linux Biolinum O" w:cs="Linux Biolinum O"/>
      <w:b/>
      <w:bCs/>
      <w:sz w:val="24"/>
      <w:szCs w:val="20"/>
    </w:rPr>
  </w:style>
  <w:style w:type="paragraph" w:customStyle="1" w:styleId="ACMRefHead">
    <w:name w:val="ACMRefHead"/>
    <w:basedOn w:val="Titledocument"/>
    <w:link w:val="ACMRefHeadChar"/>
    <w:rsid w:val="005B434B"/>
    <w:pPr>
      <w:spacing w:before="160" w:line="192" w:lineRule="atLeast"/>
      <w:jc w:val="both"/>
    </w:pPr>
    <w:rPr>
      <w:rFonts w:ascii="Linux Libertine O" w:hAnsi="Linux Libertine O" w:cs="Linux Libertine O"/>
      <w:sz w:val="16"/>
    </w:rPr>
  </w:style>
  <w:style w:type="character" w:customStyle="1" w:styleId="TitledocumentChar">
    <w:name w:val="Title_document Char"/>
    <w:basedOn w:val="DefaultParagraphFont"/>
    <w:link w:val="Titledocument"/>
    <w:rsid w:val="005B434B"/>
    <w:rPr>
      <w:rFonts w:ascii="Linux Biolinum O" w:eastAsia="Times New Roman" w:hAnsi="Linux Biolinum O" w:cs="Linux Biolinum O"/>
      <w:b/>
      <w:bCs/>
      <w:sz w:val="24"/>
      <w:szCs w:val="20"/>
    </w:rPr>
  </w:style>
  <w:style w:type="character" w:customStyle="1" w:styleId="AckHeadChar">
    <w:name w:val="AckHead Char"/>
    <w:link w:val="AckHead"/>
    <w:locked/>
    <w:rsid w:val="005B434B"/>
    <w:rPr>
      <w:rFonts w:ascii="Linux Biolinum O" w:eastAsia="Cambria" w:hAnsi="Linux Biolinum O" w:cs="Linux Biolinum O"/>
      <w:b/>
      <w:sz w:val="18"/>
      <w:lang w:eastAsia="ja-JP"/>
    </w:rPr>
  </w:style>
  <w:style w:type="paragraph" w:customStyle="1" w:styleId="AckHead">
    <w:name w:val="AckHead"/>
    <w:next w:val="AckPara"/>
    <w:link w:val="AckHeadChar"/>
    <w:rsid w:val="005B434B"/>
    <w:pPr>
      <w:keepNext/>
      <w:spacing w:before="240" w:after="60" w:line="225" w:lineRule="atLeast"/>
    </w:pPr>
    <w:rPr>
      <w:rFonts w:ascii="Linux Biolinum O" w:eastAsia="Cambria" w:hAnsi="Linux Biolinum O" w:cs="Linux Biolinum O"/>
      <w:b/>
      <w:sz w:val="18"/>
      <w:lang w:eastAsia="ja-JP"/>
    </w:rPr>
  </w:style>
  <w:style w:type="paragraph" w:customStyle="1" w:styleId="AckPara">
    <w:name w:val="AckPara"/>
    <w:basedOn w:val="Normal"/>
    <w:next w:val="ParaContinue"/>
    <w:rsid w:val="005B434B"/>
    <w:pPr>
      <w:spacing w:after="0" w:line="270" w:lineRule="atLeast"/>
      <w:jc w:val="both"/>
    </w:pPr>
    <w:rPr>
      <w:rFonts w:ascii="Linux Libertine O" w:eastAsia="Cambria" w:hAnsi="Linux Libertine O" w:cs="Linux Libertine O"/>
      <w:sz w:val="18"/>
      <w:lang w:eastAsia="it-IT"/>
    </w:rPr>
  </w:style>
  <w:style w:type="paragraph" w:customStyle="1" w:styleId="AppendixH1">
    <w:name w:val="AppendixH1"/>
    <w:next w:val="Para"/>
    <w:rsid w:val="005B434B"/>
    <w:pPr>
      <w:keepNext/>
      <w:tabs>
        <w:tab w:val="left" w:pos="240"/>
      </w:tabs>
      <w:spacing w:before="320" w:after="60" w:line="225" w:lineRule="atLeast"/>
    </w:pPr>
    <w:rPr>
      <w:rFonts w:ascii="Linux Biolinum O" w:eastAsia="Times New Roman" w:hAnsi="Linux Biolinum O" w:cs="Linux Biolinum O"/>
      <w:b/>
      <w:caps/>
      <w:sz w:val="18"/>
      <w:szCs w:val="20"/>
    </w:rPr>
  </w:style>
  <w:style w:type="paragraph" w:customStyle="1" w:styleId="AppendixH2">
    <w:name w:val="AppendixH2"/>
    <w:next w:val="Para"/>
    <w:rsid w:val="005B434B"/>
    <w:pPr>
      <w:keepNext/>
      <w:autoSpaceDE w:val="0"/>
      <w:autoSpaceDN w:val="0"/>
      <w:adjustRightInd w:val="0"/>
      <w:spacing w:before="240" w:after="60" w:line="225" w:lineRule="atLeast"/>
    </w:pPr>
    <w:rPr>
      <w:rFonts w:ascii="Linux Biolinum O" w:eastAsia="Cambria" w:hAnsi="Linux Biolinum O" w:cs="Linux Biolinum O"/>
      <w:b/>
      <w:sz w:val="18"/>
      <w:szCs w:val="24"/>
    </w:rPr>
  </w:style>
  <w:style w:type="paragraph" w:customStyle="1" w:styleId="AppendixH3">
    <w:name w:val="AppendixH3"/>
    <w:next w:val="Para"/>
    <w:rsid w:val="005B434B"/>
    <w:pPr>
      <w:keepNext/>
      <w:autoSpaceDE w:val="0"/>
      <w:autoSpaceDN w:val="0"/>
      <w:adjustRightInd w:val="0"/>
      <w:spacing w:before="240" w:after="0" w:line="225" w:lineRule="atLeast"/>
    </w:pPr>
    <w:rPr>
      <w:rFonts w:ascii="Linux Biolinum O" w:eastAsia="Cambria" w:hAnsi="Linux Biolinum O" w:cs="Linux Biolinum O"/>
      <w:i/>
      <w:sz w:val="18"/>
      <w:szCs w:val="24"/>
    </w:rPr>
  </w:style>
  <w:style w:type="paragraph" w:customStyle="1" w:styleId="AuthNotes">
    <w:name w:val="AuthNotes"/>
    <w:rsid w:val="005B434B"/>
    <w:pPr>
      <w:spacing w:after="0" w:line="140" w:lineRule="atLeast"/>
      <w:jc w:val="both"/>
    </w:pPr>
    <w:rPr>
      <w:rFonts w:ascii="Linux Libertine O" w:eastAsia="Cambria" w:hAnsi="Linux Libertine O" w:cs="Linux Libertine O"/>
      <w:sz w:val="14"/>
    </w:rPr>
  </w:style>
  <w:style w:type="character" w:customStyle="1" w:styleId="AuthorsChar">
    <w:name w:val="Authors Char"/>
    <w:link w:val="Authors"/>
    <w:locked/>
    <w:rsid w:val="005B434B"/>
    <w:rPr>
      <w:rFonts w:ascii="Linux Biolinum O" w:eastAsia="Cambria" w:hAnsi="Linux Biolinum O" w:cs="Linux Biolinum O"/>
      <w:caps/>
      <w:lang w:eastAsia="ja-JP"/>
    </w:rPr>
  </w:style>
  <w:style w:type="paragraph" w:customStyle="1" w:styleId="Authors">
    <w:name w:val="Authors"/>
    <w:link w:val="AuthorsChar"/>
    <w:rsid w:val="005B434B"/>
    <w:pPr>
      <w:spacing w:before="60" w:after="0" w:line="320" w:lineRule="atLeast"/>
    </w:pPr>
    <w:rPr>
      <w:rFonts w:ascii="Linux Biolinum O" w:eastAsia="Cambria" w:hAnsi="Linux Biolinum O" w:cs="Linux Biolinum O"/>
      <w:caps/>
      <w:lang w:eastAsia="ja-JP"/>
    </w:rPr>
  </w:style>
  <w:style w:type="character" w:customStyle="1" w:styleId="DisplayFormulaChar">
    <w:name w:val="DisplayFormula Char"/>
    <w:link w:val="DisplayFormula"/>
    <w:locked/>
    <w:rsid w:val="005B434B"/>
    <w:rPr>
      <w:rFonts w:ascii="Linux Libertine O" w:eastAsia="Cambria" w:hAnsi="Linux Libertine O" w:cs="Linux Libertine O"/>
      <w:sz w:val="18"/>
      <w:lang w:eastAsia="ja-JP"/>
    </w:rPr>
  </w:style>
  <w:style w:type="paragraph" w:customStyle="1" w:styleId="DisplayFormula">
    <w:name w:val="DisplayFormula"/>
    <w:link w:val="DisplayFormulaChar"/>
    <w:rsid w:val="005B434B"/>
    <w:pPr>
      <w:spacing w:before="120" w:after="180" w:line="270" w:lineRule="atLeast"/>
      <w:jc w:val="center"/>
    </w:pPr>
    <w:rPr>
      <w:rFonts w:ascii="Linux Libertine O" w:eastAsia="Cambria" w:hAnsi="Linux Libertine O" w:cs="Linux Libertine O"/>
      <w:sz w:val="18"/>
      <w:lang w:eastAsia="ja-JP"/>
    </w:rPr>
  </w:style>
  <w:style w:type="paragraph" w:customStyle="1" w:styleId="KeyWordHead">
    <w:name w:val="KeyWordHead"/>
    <w:link w:val="KeyWordHeadchar"/>
    <w:rsid w:val="005B434B"/>
    <w:pPr>
      <w:spacing w:before="140" w:after="0" w:line="240" w:lineRule="atLeast"/>
    </w:pPr>
    <w:rPr>
      <w:rFonts w:ascii="Linux Libertine O" w:eastAsia="Cambria" w:hAnsi="Linux Libertine O" w:cs="Linux Libertine O"/>
      <w:sz w:val="16"/>
    </w:rPr>
  </w:style>
  <w:style w:type="paragraph" w:customStyle="1" w:styleId="KeyWords">
    <w:name w:val="KeyWords"/>
    <w:basedOn w:val="Normal"/>
    <w:rsid w:val="005B434B"/>
    <w:pPr>
      <w:spacing w:before="140" w:after="0" w:line="270" w:lineRule="atLeast"/>
      <w:jc w:val="both"/>
    </w:pPr>
    <w:rPr>
      <w:rFonts w:ascii="Linux Libertine O" w:eastAsia="Cambria" w:hAnsi="Linux Libertine O" w:cs="Linux Libertine O"/>
      <w:sz w:val="18"/>
      <w:szCs w:val="24"/>
    </w:rPr>
  </w:style>
  <w:style w:type="paragraph" w:customStyle="1" w:styleId="ReferenceHead">
    <w:name w:val="ReferenceHead"/>
    <w:next w:val="AckPara"/>
    <w:rsid w:val="005B434B"/>
    <w:pPr>
      <w:keepNext/>
      <w:spacing w:before="300" w:after="60" w:line="225" w:lineRule="atLeast"/>
    </w:pPr>
    <w:rPr>
      <w:rFonts w:ascii="Linux Biolinum O" w:eastAsia="Cambria" w:hAnsi="Linux Biolinum O" w:cs="Linux Biolinum O"/>
      <w:b/>
      <w:sz w:val="18"/>
    </w:rPr>
  </w:style>
  <w:style w:type="paragraph" w:customStyle="1" w:styleId="Statements">
    <w:name w:val="Statements"/>
    <w:basedOn w:val="Normal"/>
    <w:rsid w:val="005B434B"/>
    <w:pPr>
      <w:spacing w:before="120" w:after="120" w:line="225" w:lineRule="atLeast"/>
      <w:ind w:firstLine="240"/>
      <w:jc w:val="both"/>
    </w:pPr>
    <w:rPr>
      <w:rFonts w:ascii="Linux Libertine O" w:eastAsia="Cambria" w:hAnsi="Linux Libertine O" w:cs="Linux Libertine O"/>
      <w:i/>
      <w:sz w:val="18"/>
      <w:szCs w:val="24"/>
    </w:rPr>
  </w:style>
  <w:style w:type="character" w:customStyle="1" w:styleId="TableCaptionChar">
    <w:name w:val="TableCaption Char"/>
    <w:link w:val="TableCaption"/>
    <w:locked/>
    <w:rsid w:val="005B434B"/>
    <w:rPr>
      <w:rFonts w:ascii="Linux Biolinum O" w:eastAsia="Cambria" w:hAnsi="Linux Biolinum O" w:cs="Linux Biolinum O"/>
      <w:sz w:val="16"/>
      <w:szCs w:val="24"/>
      <w:lang w:eastAsia="ja-JP"/>
    </w:rPr>
  </w:style>
  <w:style w:type="paragraph" w:customStyle="1" w:styleId="TableCaption">
    <w:name w:val="TableCaption"/>
    <w:link w:val="TableCaptionChar"/>
    <w:autoRedefine/>
    <w:rsid w:val="0074086C"/>
    <w:pPr>
      <w:keepNext/>
      <w:spacing w:before="180" w:after="120" w:line="200" w:lineRule="atLeast"/>
      <w:jc w:val="center"/>
    </w:pPr>
    <w:rPr>
      <w:rFonts w:ascii="Linux Biolinum O" w:eastAsia="Cambria" w:hAnsi="Linux Biolinum O" w:cs="Linux Biolinum O"/>
      <w:sz w:val="16"/>
      <w:szCs w:val="24"/>
      <w:lang w:eastAsia="ja-JP"/>
    </w:rPr>
  </w:style>
  <w:style w:type="character" w:customStyle="1" w:styleId="ACMRefHeadChar">
    <w:name w:val="ACMRefHead Char"/>
    <w:basedOn w:val="TitledocumentChar"/>
    <w:link w:val="ACMRefHead"/>
    <w:rsid w:val="005B434B"/>
    <w:rPr>
      <w:rFonts w:ascii="Linux Libertine O" w:eastAsia="Times New Roman" w:hAnsi="Linux Libertine O" w:cs="Linux Libertine O"/>
      <w:b/>
      <w:bCs/>
      <w:sz w:val="16"/>
      <w:szCs w:val="20"/>
    </w:rPr>
  </w:style>
  <w:style w:type="character" w:customStyle="1" w:styleId="DisplayFormulaUnnumChar">
    <w:name w:val="DisplayFormulaUnnum Char"/>
    <w:link w:val="DisplayFormulaUnnum"/>
    <w:locked/>
    <w:rsid w:val="005B434B"/>
    <w:rPr>
      <w:rFonts w:ascii="Linux Libertine O" w:eastAsia="Cambria" w:hAnsi="Linux Libertine O" w:cs="Linux Libertine O"/>
      <w:sz w:val="18"/>
      <w:szCs w:val="24"/>
      <w:lang w:eastAsia="ja-JP"/>
    </w:rPr>
  </w:style>
  <w:style w:type="paragraph" w:customStyle="1" w:styleId="DisplayFormulaUnnum">
    <w:name w:val="DisplayFormulaUnnum"/>
    <w:basedOn w:val="Normal"/>
    <w:link w:val="DisplayFormulaUnnumChar"/>
    <w:rsid w:val="005B434B"/>
    <w:pPr>
      <w:spacing w:before="120" w:after="180" w:line="270" w:lineRule="atLeast"/>
      <w:jc w:val="center"/>
    </w:pPr>
    <w:rPr>
      <w:rFonts w:ascii="Linux Libertine O" w:eastAsia="Cambria" w:hAnsi="Linux Libertine O" w:cs="Linux Libertine O"/>
      <w:sz w:val="18"/>
      <w:szCs w:val="24"/>
      <w:lang w:eastAsia="ja-JP"/>
    </w:rPr>
  </w:style>
  <w:style w:type="character" w:customStyle="1" w:styleId="ParaContinueChar">
    <w:name w:val="ParaContinue Char"/>
    <w:link w:val="ParaContinue"/>
    <w:locked/>
    <w:rsid w:val="005B434B"/>
    <w:rPr>
      <w:rFonts w:ascii="Linux Libertine O" w:hAnsi="Linux Libertine O" w:cs="Linux Libertine O"/>
      <w:sz w:val="18"/>
      <w:szCs w:val="24"/>
      <w:lang w:eastAsia="ja-JP"/>
    </w:rPr>
  </w:style>
  <w:style w:type="paragraph" w:customStyle="1" w:styleId="ParaContinue">
    <w:name w:val="ParaContinue"/>
    <w:basedOn w:val="Normal"/>
    <w:link w:val="ParaContinueChar"/>
    <w:rsid w:val="005B434B"/>
    <w:pPr>
      <w:spacing w:after="0" w:line="270" w:lineRule="atLeast"/>
      <w:ind w:firstLine="240"/>
      <w:jc w:val="both"/>
    </w:pPr>
    <w:rPr>
      <w:rFonts w:ascii="Linux Libertine O" w:hAnsi="Linux Libertine O" w:cs="Linux Libertine O"/>
      <w:sz w:val="18"/>
      <w:szCs w:val="24"/>
      <w:lang w:eastAsia="ja-JP"/>
    </w:rPr>
  </w:style>
  <w:style w:type="paragraph" w:customStyle="1" w:styleId="Bibentry">
    <w:name w:val="Bib_entry"/>
    <w:basedOn w:val="Normal"/>
    <w:rsid w:val="005B434B"/>
    <w:pPr>
      <w:widowControl w:val="0"/>
      <w:numPr>
        <w:numId w:val="3"/>
      </w:numPr>
      <w:spacing w:after="60" w:line="168" w:lineRule="atLeast"/>
      <w:jc w:val="both"/>
    </w:pPr>
    <w:rPr>
      <w:rFonts w:ascii="Linux Libertine O" w:eastAsia="Cambria" w:hAnsi="Linux Libertine O" w:cs="Linux Libertine O"/>
      <w:sz w:val="14"/>
      <w:lang w:eastAsia="ja-JP"/>
    </w:rPr>
  </w:style>
  <w:style w:type="paragraph" w:customStyle="1" w:styleId="Algorithm">
    <w:name w:val="Algorithm"/>
    <w:basedOn w:val="Normal"/>
    <w:rsid w:val="005B434B"/>
    <w:pPr>
      <w:pBdr>
        <w:bottom w:val="single" w:sz="4" w:space="3" w:color="auto"/>
      </w:pBdr>
      <w:spacing w:after="60" w:line="216" w:lineRule="atLeast"/>
    </w:pPr>
    <w:rPr>
      <w:rFonts w:ascii="InconsolataN" w:eastAsia="Cambria" w:hAnsi="InconsolataN" w:cs="Linux Biolinum O"/>
      <w:sz w:val="18"/>
      <w:szCs w:val="24"/>
    </w:rPr>
  </w:style>
  <w:style w:type="paragraph" w:customStyle="1" w:styleId="Extract">
    <w:name w:val="Extract"/>
    <w:basedOn w:val="Normal"/>
    <w:rsid w:val="005B434B"/>
    <w:pPr>
      <w:spacing w:before="120" w:after="180" w:line="270" w:lineRule="atLeast"/>
      <w:ind w:left="360" w:right="360"/>
      <w:contextualSpacing/>
      <w:jc w:val="both"/>
    </w:pPr>
    <w:rPr>
      <w:rFonts w:ascii="Linux Libertine O" w:eastAsia="Times New Roman" w:hAnsi="Linux Libertine O" w:cs="Linux Libertine O"/>
      <w:sz w:val="18"/>
      <w:szCs w:val="20"/>
    </w:rPr>
  </w:style>
  <w:style w:type="paragraph" w:customStyle="1" w:styleId="CCSHead">
    <w:name w:val="CCSHead"/>
    <w:basedOn w:val="KeyWordHead"/>
    <w:link w:val="CCSHeadchar"/>
    <w:rsid w:val="005B434B"/>
    <w:pPr>
      <w:jc w:val="both"/>
    </w:pPr>
    <w:rPr>
      <w:b/>
    </w:rPr>
  </w:style>
  <w:style w:type="paragraph" w:customStyle="1" w:styleId="CCSDescription">
    <w:name w:val="CCSDescription"/>
    <w:basedOn w:val="KeyWords"/>
    <w:rsid w:val="005B434B"/>
    <w:rPr>
      <w:b/>
    </w:rPr>
  </w:style>
  <w:style w:type="paragraph" w:customStyle="1" w:styleId="AlgorithmCaption">
    <w:name w:val="AlgorithmCaption"/>
    <w:basedOn w:val="Normal"/>
    <w:rsid w:val="005B434B"/>
    <w:pPr>
      <w:keepNext/>
      <w:pBdr>
        <w:top w:val="single" w:sz="4" w:space="2" w:color="auto"/>
        <w:bottom w:val="single" w:sz="4" w:space="2" w:color="auto"/>
      </w:pBdr>
      <w:spacing w:before="300" w:after="120" w:line="200" w:lineRule="atLeast"/>
      <w:jc w:val="center"/>
    </w:pPr>
    <w:rPr>
      <w:rFonts w:ascii="Linux Biolinum O" w:eastAsia="Cambria" w:hAnsi="Linux Biolinum O" w:cs="Linux Biolinum O"/>
      <w:sz w:val="16"/>
      <w:szCs w:val="24"/>
    </w:rPr>
  </w:style>
  <w:style w:type="character" w:customStyle="1" w:styleId="GrantNumber">
    <w:name w:val="GrantNumber"/>
    <w:rsid w:val="005B434B"/>
    <w:rPr>
      <w:rFonts w:ascii="Linux Libertine O" w:hAnsi="Linux Libertine O" w:cs="Linux Libertine O" w:hint="default"/>
      <w:color w:val="9900FF"/>
    </w:rPr>
  </w:style>
  <w:style w:type="paragraph" w:styleId="Footer">
    <w:name w:val="footer"/>
    <w:basedOn w:val="Normal"/>
    <w:link w:val="FooterChar"/>
    <w:uiPriority w:val="99"/>
    <w:unhideWhenUsed/>
    <w:rsid w:val="005B434B"/>
    <w:pPr>
      <w:tabs>
        <w:tab w:val="center" w:pos="4320"/>
        <w:tab w:val="right" w:pos="8640"/>
      </w:tabs>
      <w:spacing w:after="0" w:line="240" w:lineRule="auto"/>
    </w:pPr>
    <w:rPr>
      <w:rFonts w:ascii="Linux Libertine O" w:eastAsia="MS Mincho" w:hAnsi="Linux Libertine O" w:cs="Linux Libertine O"/>
      <w:sz w:val="18"/>
      <w:szCs w:val="24"/>
      <w:lang w:eastAsia="ja-JP"/>
    </w:rPr>
  </w:style>
  <w:style w:type="character" w:customStyle="1" w:styleId="FooterChar">
    <w:name w:val="Footer Char"/>
    <w:basedOn w:val="DefaultParagraphFont"/>
    <w:link w:val="Footer"/>
    <w:uiPriority w:val="99"/>
    <w:rsid w:val="005B434B"/>
    <w:rPr>
      <w:rFonts w:ascii="Linux Libertine O" w:eastAsia="MS Mincho" w:hAnsi="Linux Libertine O" w:cs="Linux Libertine O"/>
      <w:sz w:val="18"/>
      <w:szCs w:val="24"/>
      <w:lang w:eastAsia="ja-JP"/>
    </w:rPr>
  </w:style>
  <w:style w:type="numbering" w:styleId="111111">
    <w:name w:val="Outline List 2"/>
    <w:basedOn w:val="NoList"/>
    <w:uiPriority w:val="99"/>
    <w:semiHidden/>
    <w:unhideWhenUsed/>
    <w:rsid w:val="005B434B"/>
    <w:pPr>
      <w:numPr>
        <w:numId w:val="2"/>
      </w:numPr>
    </w:pPr>
  </w:style>
  <w:style w:type="table" w:styleId="TableGrid">
    <w:name w:val="Table Grid"/>
    <w:basedOn w:val="TableNormal"/>
    <w:uiPriority w:val="59"/>
    <w:rsid w:val="005B434B"/>
    <w:pPr>
      <w:spacing w:after="0" w:line="240" w:lineRule="auto"/>
    </w:pPr>
    <w:rPr>
      <w:rFonts w:ascii="Cambria" w:eastAsia="MS Mincho"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MRef">
    <w:name w:val="ACMRef"/>
    <w:basedOn w:val="Titledocument"/>
    <w:link w:val="ACMRefChar"/>
    <w:rsid w:val="005B434B"/>
    <w:pPr>
      <w:spacing w:before="20" w:line="240" w:lineRule="atLeast"/>
      <w:jc w:val="both"/>
    </w:pPr>
    <w:rPr>
      <w:rFonts w:ascii="Linux Libertine O" w:hAnsi="Linux Libertine O" w:cs="Linux Libertine O"/>
      <w:b w:val="0"/>
      <w:sz w:val="16"/>
    </w:rPr>
  </w:style>
  <w:style w:type="character" w:customStyle="1" w:styleId="ACMRefChar">
    <w:name w:val="ACMRef Char"/>
    <w:basedOn w:val="TitledocumentChar"/>
    <w:link w:val="ACMRef"/>
    <w:rsid w:val="005B434B"/>
    <w:rPr>
      <w:rFonts w:ascii="Linux Libertine O" w:eastAsia="Times New Roman" w:hAnsi="Linux Libertine O" w:cs="Linux Libertine O"/>
      <w:b w:val="0"/>
      <w:bCs/>
      <w:sz w:val="16"/>
      <w:szCs w:val="20"/>
    </w:rPr>
  </w:style>
  <w:style w:type="character" w:customStyle="1" w:styleId="CCSHeadchar">
    <w:name w:val="CCSHead char"/>
    <w:basedOn w:val="DefaultParagraphFont"/>
    <w:link w:val="CCSHead"/>
    <w:rsid w:val="005B434B"/>
    <w:rPr>
      <w:rFonts w:ascii="Linux Libertine O" w:eastAsia="Cambria" w:hAnsi="Linux Libertine O" w:cs="Linux Libertine O"/>
      <w:b/>
      <w:sz w:val="16"/>
    </w:rPr>
  </w:style>
  <w:style w:type="character" w:customStyle="1" w:styleId="KeyWordHeadchar">
    <w:name w:val="KeyWordHead char"/>
    <w:basedOn w:val="DefaultParagraphFont"/>
    <w:link w:val="KeyWordHead"/>
    <w:rsid w:val="005B434B"/>
    <w:rPr>
      <w:rFonts w:ascii="Linux Libertine O" w:eastAsia="Cambria" w:hAnsi="Linux Libertine O" w:cs="Linux Libertine O"/>
      <w:sz w:val="16"/>
    </w:rPr>
  </w:style>
  <w:style w:type="paragraph" w:customStyle="1" w:styleId="TableCell">
    <w:name w:val="TableCell"/>
    <w:basedOn w:val="Para"/>
    <w:rsid w:val="005B434B"/>
    <w:pPr>
      <w:spacing w:line="220" w:lineRule="atLeast"/>
    </w:pPr>
    <w:rPr>
      <w:sz w:val="16"/>
      <w:szCs w:val="16"/>
      <w:lang w:eastAsia="en-US"/>
    </w:rPr>
  </w:style>
  <w:style w:type="character" w:customStyle="1" w:styleId="Head3oldChar">
    <w:name w:val="Head3old Char"/>
    <w:basedOn w:val="DefaultParagraphFont"/>
    <w:link w:val="Head3old"/>
    <w:rsid w:val="005B434B"/>
    <w:rPr>
      <w:rFonts w:ascii="Linux Biolinum O" w:eastAsia="MS Mincho" w:hAnsi="Linux Biolinum O" w:cs="Linux Biolinum O"/>
      <w:b/>
      <w:i/>
      <w:sz w:val="18"/>
      <w:szCs w:val="20"/>
    </w:rPr>
  </w:style>
  <w:style w:type="paragraph" w:customStyle="1" w:styleId="Head3">
    <w:name w:val="Head3"/>
    <w:basedOn w:val="Titledocument"/>
    <w:next w:val="Para"/>
    <w:link w:val="Head3Char"/>
    <w:qFormat/>
    <w:rsid w:val="005B434B"/>
    <w:pPr>
      <w:keepNext/>
      <w:numPr>
        <w:ilvl w:val="2"/>
        <w:numId w:val="14"/>
      </w:numPr>
      <w:tabs>
        <w:tab w:val="left" w:pos="540"/>
      </w:tabs>
      <w:overflowPunct w:val="0"/>
      <w:spacing w:before="240" w:after="60" w:line="225" w:lineRule="atLeast"/>
      <w:jc w:val="both"/>
      <w:outlineLvl w:val="2"/>
    </w:pPr>
    <w:rPr>
      <w:b w:val="0"/>
      <w:i/>
      <w:sz w:val="18"/>
    </w:rPr>
  </w:style>
  <w:style w:type="character" w:customStyle="1" w:styleId="Parachar">
    <w:name w:val="Para char"/>
    <w:basedOn w:val="DefaultParagraphFont"/>
    <w:rsid w:val="005B434B"/>
    <w:rPr>
      <w:rFonts w:ascii="Linux Libertine O" w:hAnsi="Linux Libertine O" w:cs="Linux Libertine O"/>
      <w:b w:val="0"/>
      <w:i/>
      <w:sz w:val="18"/>
      <w:lang w:eastAsia="ja-JP"/>
    </w:rPr>
  </w:style>
  <w:style w:type="character" w:customStyle="1" w:styleId="Head3Char">
    <w:name w:val="Head3 Char"/>
    <w:basedOn w:val="TitledocumentChar"/>
    <w:link w:val="Head3"/>
    <w:rsid w:val="005B434B"/>
    <w:rPr>
      <w:rFonts w:ascii="Linux Biolinum O" w:eastAsia="Times New Roman" w:hAnsi="Linux Biolinum O" w:cs="Linux Biolinum O"/>
      <w:b w:val="0"/>
      <w:bCs/>
      <w:i/>
      <w:sz w:val="18"/>
      <w:szCs w:val="20"/>
    </w:rPr>
  </w:style>
  <w:style w:type="character" w:customStyle="1" w:styleId="GrantSponsor">
    <w:name w:val="GrantSponsor"/>
    <w:rsid w:val="005B434B"/>
    <w:rPr>
      <w:rFonts w:ascii="Linux Libertine O" w:hAnsi="Linux Libertine O" w:cs="Linux Libertine O" w:hint="default"/>
      <w:color w:val="666699"/>
    </w:rPr>
  </w:style>
  <w:style w:type="paragraph" w:customStyle="1" w:styleId="PostHeadPara">
    <w:name w:val="PostHeadPara"/>
    <w:basedOn w:val="Para"/>
    <w:qFormat/>
    <w:rsid w:val="00115CB0"/>
    <w:pPr>
      <w:ind w:firstLine="0"/>
    </w:pPr>
    <w:rPr>
      <w:lang w:eastAsia="en-US"/>
    </w:rPr>
  </w:style>
  <w:style w:type="character" w:customStyle="1" w:styleId="Heading1Char">
    <w:name w:val="Heading 1 Char"/>
    <w:basedOn w:val="DefaultParagraphFont"/>
    <w:link w:val="Heading1"/>
    <w:uiPriority w:val="9"/>
    <w:rsid w:val="005B434B"/>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5B434B"/>
    <w:rPr>
      <w:rFonts w:asciiTheme="majorHAnsi" w:eastAsiaTheme="majorEastAsia" w:hAnsiTheme="majorHAnsi" w:cstheme="majorBidi"/>
      <w:color w:val="2E74B5" w:themeColor="accent1" w:themeShade="BF"/>
      <w:sz w:val="26"/>
      <w:szCs w:val="26"/>
    </w:rPr>
  </w:style>
  <w:style w:type="character" w:customStyle="1" w:styleId="In-textcode">
    <w:name w:val="In-text code"/>
    <w:basedOn w:val="DefaultParagraphFont"/>
    <w:uiPriority w:val="1"/>
    <w:qFormat/>
    <w:rsid w:val="003A253B"/>
    <w:rPr>
      <w:rFonts w:ascii="Courier New" w:hAnsi="Courier New"/>
    </w:rPr>
  </w:style>
  <w:style w:type="paragraph" w:customStyle="1" w:styleId="ShortTitle">
    <w:name w:val="Short Title"/>
    <w:basedOn w:val="Titledocument"/>
    <w:qFormat/>
    <w:rsid w:val="000F4E3C"/>
    <w:rPr>
      <w:rFonts w:ascii="Linux Libertine" w:hAnsi="Linux Libertine"/>
      <w:b w:val="0"/>
      <w:sz w:val="20"/>
    </w:rPr>
  </w:style>
  <w:style w:type="paragraph" w:customStyle="1" w:styleId="ComputerCode">
    <w:name w:val="ComputerCode"/>
    <w:basedOn w:val="Normal"/>
    <w:qFormat/>
    <w:rsid w:val="00A6011A"/>
    <w:pPr>
      <w:spacing w:before="60" w:after="60" w:line="360" w:lineRule="auto"/>
      <w:jc w:val="both"/>
    </w:pPr>
    <w:rPr>
      <w:rFonts w:ascii="Courier New" w:hAnsi="Courier New" w:cs="Linux Libertine"/>
      <w:sz w:val="16"/>
      <w14:ligatures w14:val="standard"/>
    </w:rPr>
  </w:style>
  <w:style w:type="paragraph" w:customStyle="1" w:styleId="Head4">
    <w:name w:val="Head4"/>
    <w:autoRedefine/>
    <w:qFormat/>
    <w:rsid w:val="00A6011A"/>
    <w:pPr>
      <w:keepNext/>
      <w:numPr>
        <w:ilvl w:val="3"/>
        <w:numId w:val="14"/>
      </w:numPr>
      <w:spacing w:before="60" w:after="140" w:line="240" w:lineRule="auto"/>
    </w:pPr>
    <w:rPr>
      <w:rFonts w:ascii="Linux Biolinum" w:eastAsia="Times New Roman" w:hAnsi="Linux Biolinum" w:cs="Linux Biolinum"/>
      <w:i/>
      <w:sz w:val="24"/>
      <w:szCs w:val="20"/>
    </w:rPr>
  </w:style>
  <w:style w:type="character" w:customStyle="1" w:styleId="TableFootnoteChar">
    <w:name w:val="TableFootnote Char"/>
    <w:link w:val="TableFootnote"/>
    <w:locked/>
    <w:rsid w:val="005C3913"/>
    <w:rPr>
      <w:rFonts w:eastAsia="Cambria"/>
    </w:rPr>
  </w:style>
  <w:style w:type="paragraph" w:customStyle="1" w:styleId="TableFootnote">
    <w:name w:val="TableFootnote"/>
    <w:basedOn w:val="Normal"/>
    <w:link w:val="TableFootnoteChar"/>
    <w:rsid w:val="005C3913"/>
    <w:pPr>
      <w:spacing w:after="200" w:line="240" w:lineRule="auto"/>
    </w:pPr>
    <w:rPr>
      <w:rFonts w:eastAsia="Cambria"/>
    </w:rPr>
  </w:style>
  <w:style w:type="paragraph" w:customStyle="1" w:styleId="Style1">
    <w:name w:val="Style1"/>
    <w:basedOn w:val="PostHeadPara"/>
    <w:qFormat/>
    <w:rsid w:val="00526E0C"/>
  </w:style>
  <w:style w:type="paragraph" w:customStyle="1" w:styleId="Style2">
    <w:name w:val="Style2"/>
    <w:basedOn w:val="Style1"/>
    <w:qFormat/>
    <w:rsid w:val="00526E0C"/>
  </w:style>
  <w:style w:type="paragraph" w:customStyle="1" w:styleId="Style3">
    <w:name w:val="Style3"/>
    <w:basedOn w:val="ParaContinue"/>
    <w:qFormat/>
    <w:rsid w:val="005B61AA"/>
  </w:style>
  <w:style w:type="paragraph" w:customStyle="1" w:styleId="Style4">
    <w:name w:val="Style4"/>
    <w:basedOn w:val="ParaContinue"/>
    <w:link w:val="Style4Char"/>
    <w:qFormat/>
    <w:rsid w:val="00A60B6C"/>
  </w:style>
  <w:style w:type="character" w:customStyle="1" w:styleId="Style4Char">
    <w:name w:val="Style4 Char"/>
    <w:basedOn w:val="ParaContinueChar"/>
    <w:link w:val="Style4"/>
    <w:rsid w:val="00A60B6C"/>
    <w:rPr>
      <w:rFonts w:ascii="Linux Libertine O" w:hAnsi="Linux Libertine O" w:cs="Linux Libertine O"/>
      <w:sz w:val="18"/>
      <w:szCs w:val="24"/>
      <w:lang w:eastAsia="ja-JP"/>
    </w:rPr>
  </w:style>
  <w:style w:type="character" w:styleId="UnresolvedMention">
    <w:name w:val="Unresolved Mention"/>
    <w:basedOn w:val="DefaultParagraphFont"/>
    <w:uiPriority w:val="99"/>
    <w:semiHidden/>
    <w:unhideWhenUsed/>
    <w:rsid w:val="006E44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927812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hookproductivity.com/help/integration/data-linkability-and-why-it-matters/"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luccogzest.substack.com/p/improving-concepts-of-epistemic-agency"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1146</TotalTime>
  <Pages>15</Pages>
  <Words>6073</Words>
  <Characters>33828</Characters>
  <Application>Microsoft Office Word</Application>
  <DocSecurity>0</DocSecurity>
  <Lines>554</Lines>
  <Paragraphs>380</Paragraphs>
  <ScaleCrop>false</ScaleCrop>
  <HeadingPairs>
    <vt:vector size="2" baseType="variant">
      <vt:variant>
        <vt:lpstr>Title</vt:lpstr>
      </vt:variant>
      <vt:variant>
        <vt:i4>1</vt:i4>
      </vt:variant>
    </vt:vector>
  </HeadingPairs>
  <TitlesOfParts>
    <vt:vector size="1" baseType="lpstr">
      <vt:lpstr>Solving the Meta-Access Problem with Hyper-Relevant Contextual Information Retrieval</vt:lpstr>
    </vt:vector>
  </TitlesOfParts>
  <Manager/>
  <Company>Simon Fraser University</Company>
  <LinksUpToDate>false</LinksUpToDate>
  <CharactersWithSpaces>39521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Solving the Meta-Access Problem with Hyper-Relevant Contextual Information Retrieval</dc:title>
  <dc:subject/>
  <dc:creator/>
  <cp:keywords>meta-access problem, epistemic agency, cognitive productivity, Hookmark</cp:keywords>
  <dc:description/>
  <cp:lastModifiedBy>Luc Beaudoin</cp:lastModifiedBy>
  <cp:revision>128</cp:revision>
  <cp:lastPrinted>2026-07-27T20:42:00Z</cp:lastPrinted>
  <dcterms:created xsi:type="dcterms:W3CDTF">2020-08-18T11:08:00Z</dcterms:created>
  <dcterms:modified xsi:type="dcterms:W3CDTF">2026-07-28T21:32:00Z</dcterms:modified>
  <cp:category/>
</cp:coreProperties>
</file>